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Customer Data Handling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DATA-008</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November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DATA-008</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Customer Data Handling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November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Biannual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specifically Support and Engineering</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DATA-002, DATA-004, DATA-005, DATA-007, SEC-001, SEC-005, SEC-012, AI-002, AI-003, LEGAL-006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purpose of this policy is to establish the standards and guidelines for Vistara Global Systems Pvt. Ltd. and all its subsidiaries. As a global technology enterprise operating in multiple jurisdictions including India, Singapore, UAE, UK, and the USA, we process vast amounts of sensitive information. This document mandates the correct procedures to ensure compliance with international regulations, safeguard intellectual property, and maintain customer trust. Failure to adhere to this policy may result in disciplinary action up to and including termination of employment or contract.</w:t>
      </w:r>
    </w:p>
    <w:p>
      <w:pPr>
        <w:pStyle w:val="Heading1"/>
      </w:pPr>
      <w:r>
        <w:t>2. Scope and Applicability</w:t>
      </w:r>
    </w:p>
    <w:p>
      <w:pPr/>
      <w:r>
        <w:t>This policy applies to all employees, contractors, third-party vendors, consultants, and business partners of Vistara Global Systems. It covers operations across all locations including Bengaluru, Hyderabad, Pune, Mumbai, Gurugram, Chennai, Kolkata, New Delhi, Singapore, Dubai, London, and Austin. It applies to all systems, networks, devices, and physical locations owned, leased, or operated by Vistara.</w:t>
      </w:r>
    </w:p>
    <w:p>
      <w:pPr>
        <w:pStyle w:val="Heading1"/>
      </w:pPr>
      <w:r>
        <w:t>3. Glossary of Terms</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pPr>
        <w:pStyle w:val="Heading1"/>
      </w:pPr>
      <w:r>
        <w:t>4. Customer Data Definition and Classification</w:t>
      </w:r>
    </w:p>
    <w:p>
      <w:pPr/>
      <w:r>
        <w:t>Customer data is defined as any data provided by or about customers, including company info, contact data, financial data, usage data, support tickets, configuration data, and uploaded content. Customer data is classified at minimum as Confidential per SEC-005, while financial data may be Restricted.</w:t>
      </w:r>
    </w:p>
    <w:p>
      <w:pPr>
        <w:pStyle w:val="Heading1"/>
      </w:pPr>
      <w:r>
        <w:t>5. Handling Principles and Storage</w:t>
      </w:r>
    </w:p>
    <w:p>
      <w:pPr/>
      <w:r>
        <w:t>The customer owns their data. Vistara acts as a data processor. We must act strictly per contract terms. Storage requires AES-256 encryption at rest, must be in approved cloud regions per DATA-004, with no local storage or personal devices allowed.</w:t>
      </w:r>
    </w:p>
    <w:p>
      <w:pPr>
        <w:pStyle w:val="Heading1"/>
      </w:pPr>
      <w:r>
        <w:t>6. Access and Use Restrictions</w:t>
      </w:r>
    </w:p>
    <w:p>
      <w:pPr/>
      <w:r>
        <w:t>Access is strictly need-to-know and role-based (SEC-002). Customer data access requires manager approval and all access is logged. Data must only be used for contracted purposes. It is strictly prohibited to use customer data for training AI models without explicit consent (AI-003), or to share with third parties without agreement. Non-production use requires robust anonymization.</w:t>
      </w:r>
    </w:p>
    <w:p>
      <w:pPr>
        <w:pStyle w:val="Heading1"/>
      </w:pPr>
      <w:r>
        <w:t>7. Transmission and Support Scenarios</w:t>
      </w:r>
    </w:p>
    <w:p>
      <w:pPr/>
      <w:r>
        <w:t>Data in transit must use TLS 1.2+. No email for bulk data; secure file transfer must be used. Support scenarios may involve screen sharing with customer consent. Data in tickets must be redacted. Production access is strictly governed per ENG-002.</w:t>
      </w:r>
    </w:p>
    <w:p>
      <w:pPr>
        <w:pStyle w:val="Heading1"/>
      </w:pPr>
      <w:r>
        <w:t>8. Scenarios</w:t>
      </w:r>
    </w:p>
    <w:p>
      <w:pPr>
        <w:pStyle w:val="Heading3"/>
      </w:pPr>
      <w:r>
        <w:t>Scenario 1: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2: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3: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4: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5: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6: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7: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8: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9: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3"/>
      </w:pPr>
      <w:r>
        <w:t>Scenario 10: Support Ticket with Attached Database Dump</w:t>
      </w:r>
    </w:p>
    <w:p>
      <w:r>
        <w:rPr>
          <w:b/>
          <w:color w:val="1B3A5C"/>
        </w:rPr>
        <w:t xml:space="preserve">Situation: </w:t>
      </w:r>
      <w:r>
        <w:t>A customer mistakenly attaches an unredacted database dump containing PII to a support ticket.</w:t>
      </w:r>
    </w:p>
    <w:p>
      <w:r>
        <w:rPr>
          <w:b/>
          <w:color w:val="1B3A5C"/>
        </w:rPr>
        <w:t xml:space="preserve">Relevant Requirements: </w:t>
      </w:r>
      <w:r>
        <w:t>DATA-008 Handling Principles, SEC-012 Support Security.</w:t>
      </w:r>
    </w:p>
    <w:p>
      <w:r>
        <w:rPr>
          <w:b/>
          <w:color w:val="1B3A5C"/>
        </w:rPr>
        <w:t xml:space="preserve">Expected Process: </w:t>
      </w:r>
      <w:r>
        <w:t>Immediately redact the ticket. Securely delete the attachment from the ticketing system. Inform the customer of secure transfer methods.</w:t>
      </w:r>
    </w:p>
    <w:p>
      <w:r>
        <w:rPr>
          <w:b/>
          <w:color w:val="1B3A5C"/>
        </w:rPr>
        <w:t xml:space="preserve">Outcome: </w:t>
      </w:r>
      <w:r>
        <w:t>Exposure minimized, customer educated on safe data transfer.</w:t>
      </w:r>
    </w:p>
    <w:p/>
    <w:p>
      <w:pPr>
        <w:pStyle w:val="Heading1"/>
      </w:pPr>
      <w:r>
        <w:t>9. Frequently Asked Questions (FAQ)</w:t>
      </w:r>
    </w:p>
    <w:p>
      <w:r>
        <w:rPr>
          <w:rFonts w:ascii="Calibri" w:hAnsi="Calibri"/>
          <w:b/>
          <w:color w:val="1B3A5C"/>
          <w:sz w:val="22"/>
        </w:rPr>
        <w:t>Q: Q1: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Q2: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Q3: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Q4: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Q5: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Q6: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Q7: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Q8: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Q9: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Q10: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Q11: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Q12: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Q13: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Q14: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r>
        <w:rPr>
          <w:rFonts w:ascii="Calibri" w:hAnsi="Calibri"/>
          <w:b/>
          <w:color w:val="1B3A5C"/>
          <w:sz w:val="22"/>
        </w:rPr>
        <w:t>Q: Q15: Can we use a small subset of production data to test a new feature?</w:t>
      </w:r>
    </w:p>
    <w:p>
      <w:pPr>
        <w:spacing w:after="240"/>
      </w:pPr>
      <w:r>
        <w:rPr>
          <w:rFonts w:ascii="Calibri" w:hAnsi="Calibri"/>
          <w:color w:val="333333"/>
          <w:sz w:val="22"/>
        </w:rPr>
        <w:t>A: No. Unless the data is completely anonymized and synthetic, using production customer data in lower environments is strictly prohibited.</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Nov 2025</w:t>
            </w:r>
          </w:p>
        </w:tc>
        <w:tc>
          <w:tcPr>
            <w:tcW w:type="dxa" w:w="2160"/>
          </w:tcPr>
          <w:p>
            <w:r>
              <w:rPr>
                <w:rFonts w:ascii="Calibri" w:hAnsi="Calibri"/>
                <w:color w:val="333333"/>
                <w:sz w:val="18"/>
              </w:rPr>
              <w:t>CISO</w:t>
            </w:r>
          </w:p>
        </w:tc>
        <w:tc>
          <w:tcPr>
            <w:tcW w:type="dxa" w:w="4320"/>
          </w:tcPr>
          <w:p>
            <w:r>
              <w:rPr>
                <w:rFonts w:ascii="Calibri" w:hAnsi="Calibri"/>
                <w:color w:val="333333"/>
                <w:sz w:val="18"/>
              </w:rPr>
              <w:t>Prior version.</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15 May 2026</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Major overhaul incorporating AI restrictions.</w:t>
            </w:r>
          </w:p>
        </w:tc>
      </w:tr>
    </w:tbl>
    <w:p/>
    <w:p>
      <w:pPr>
        <w:pStyle w:val="Heading1"/>
      </w:pPr>
      <w:r>
        <w:t>10. Appendix D: Detailed Processing Requirements and Geographical Considerations</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p>
      <w:pPr/>
      <w:r>
        <w:t xml:space="preserve">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This section delineates the precise technical requirements for processing data across multiple international boundaries. It details the mechanisms for ensuring data sovereignty, compliance with local encryption laws, and exact procedural safeguards for offshore support teams.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DATA-008</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