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1B3A5C"/>
          <w:sz w:val="56"/>
        </w:rPr>
        <w:t>VISTARA GLOBAL SYSTEMS</w:t>
      </w:r>
    </w:p>
    <w:p>
      <w:pPr>
        <w:jc w:val="center"/>
      </w:pPr>
      <w:r>
        <w:rPr>
          <w:rFonts w:ascii="Calibri" w:hAnsi="Calibri"/>
          <w:color w:val="666666"/>
          <w:sz w:val="28"/>
        </w:rPr>
        <w:t>Pvt. Ltd.</w:t>
      </w:r>
    </w:p>
    <w:p>
      <w:pPr>
        <w:jc w:val="center"/>
      </w:pPr>
      <w:r>
        <w:rPr>
          <w:color w:val="1B3A5C"/>
          <w:sz w:val="24"/>
        </w:rPr>
        <w:t>━━━━━━━━━━━━━━━━━━━━━━━━━━━━━━━━━━━━━━━━━━━━━━━━━━</w:t>
      </w:r>
    </w:p>
    <w:p/>
    <w:p>
      <w:pPr>
        <w:jc w:val="center"/>
      </w:pPr>
      <w:r>
        <w:rPr>
          <w:rFonts w:ascii="Calibri" w:hAnsi="Calibri"/>
          <w:b/>
          <w:color w:val="333333"/>
          <w:sz w:val="44"/>
        </w:rPr>
        <w:t>Expense Reimbursement Policy</w:t>
      </w:r>
    </w:p>
    <w:p/>
    <w:tbl>
      <w:tblPr>
        <w:tblW w:type="auto" w:w="0"/>
        <w:jc w:val="center"/>
        <w:tblLook w:firstColumn="1" w:firstRow="1" w:lastColumn="0" w:lastRow="0" w:noHBand="0" w:noVBand="1" w:val="04A0"/>
      </w:tblPr>
      <w:tblGrid>
        <w:gridCol w:w="4680"/>
        <w:gridCol w:w="4680"/>
      </w:tblGrid>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Policy ID:</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FIN-001</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Version:</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2.2</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Status:</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Approved</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Classification:</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Internal</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Policy Owner:</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Chief Financial Officer (CFO)</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Approved By:</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Chief Executive Officer (CEO)</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Effective Date:</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01 April 2026</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Next Review Date:</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01 April 2027</w:t>
            </w:r>
          </w:p>
        </w:tc>
      </w:tr>
    </w:tbl>
    <w:p/>
    <w:p/>
    <w:p>
      <w:pPr>
        <w:jc w:val="center"/>
      </w:pPr>
      <w:r>
        <w:rPr>
          <w:rFonts w:ascii="Calibri" w:hAnsi="Calibri"/>
          <w:i/>
          <w:color w:val="999999"/>
          <w:sz w:val="18"/>
        </w:rPr>
        <w:t>Fictional enterprise policy document for demonstration and knowledge-assistant testing.</w:t>
      </w:r>
    </w:p>
    <w:p>
      <w:r>
        <w:br w:type="page"/>
      </w:r>
    </w:p>
    <w:p>
      <w:pPr>
        <w:pStyle w:val="Heading1"/>
      </w:pPr>
      <w:r>
        <w:t>Document Control</w:t>
      </w:r>
    </w:p>
    <w:tbl>
      <w:tblPr>
        <w:tblStyle w:val="TableGrid"/>
        <w:tblW w:type="auto" w:w="0"/>
        <w:jc w:val="left"/>
        <w:tblLook w:firstColumn="1" w:firstRow="1" w:lastColumn="0" w:lastRow="0" w:noHBand="0" w:noVBand="1" w:val="04A0"/>
      </w:tblPr>
      <w:tblGrid>
        <w:gridCol w:w="4680"/>
        <w:gridCol w:w="4680"/>
      </w:tblGrid>
      <w:tr>
        <w:tc>
          <w:tcPr>
            <w:tcW w:type="dxa" w:w="2880"/>
            <w:shd w:fill="E8EFF7" w:val="clear"/>
          </w:tcPr>
          <w:p>
            <w:r>
              <w:rPr>
                <w:rFonts w:ascii="Calibri" w:hAnsi="Calibri"/>
                <w:b/>
                <w:color w:val="1B3A5C"/>
                <w:sz w:val="20"/>
              </w:rPr>
              <w:t>Document ID</w:t>
            </w:r>
          </w:p>
        </w:tc>
        <w:tc>
          <w:tcPr>
            <w:tcW w:type="dxa" w:w="6480"/>
          </w:tcPr>
          <w:p>
            <w:r>
              <w:rPr>
                <w:rFonts w:ascii="Calibri" w:hAnsi="Calibri"/>
                <w:color w:val="333333"/>
                <w:sz w:val="20"/>
              </w:rPr>
              <w:t>FIN-001</w:t>
            </w:r>
          </w:p>
        </w:tc>
      </w:tr>
      <w:tr>
        <w:tc>
          <w:tcPr>
            <w:tcW w:type="dxa" w:w="2880"/>
            <w:shd w:fill="E8EFF7" w:val="clear"/>
          </w:tcPr>
          <w:p>
            <w:r>
              <w:rPr>
                <w:rFonts w:ascii="Calibri" w:hAnsi="Calibri"/>
                <w:b/>
                <w:color w:val="1B3A5C"/>
                <w:sz w:val="20"/>
              </w:rPr>
              <w:t>Policy Name</w:t>
            </w:r>
          </w:p>
        </w:tc>
        <w:tc>
          <w:tcPr>
            <w:tcW w:type="dxa" w:w="6480"/>
          </w:tcPr>
          <w:p>
            <w:r>
              <w:rPr>
                <w:rFonts w:ascii="Calibri" w:hAnsi="Calibri"/>
                <w:color w:val="333333"/>
                <w:sz w:val="20"/>
              </w:rPr>
              <w:t>Expense Reimbursement Policy</w:t>
            </w:r>
          </w:p>
        </w:tc>
      </w:tr>
      <w:tr>
        <w:tc>
          <w:tcPr>
            <w:tcW w:type="dxa" w:w="2880"/>
            <w:shd w:fill="E8EFF7" w:val="clear"/>
          </w:tcPr>
          <w:p>
            <w:r>
              <w:rPr>
                <w:rFonts w:ascii="Calibri" w:hAnsi="Calibri"/>
                <w:b/>
                <w:color w:val="1B3A5C"/>
                <w:sz w:val="20"/>
              </w:rPr>
              <w:t>Version</w:t>
            </w:r>
          </w:p>
        </w:tc>
        <w:tc>
          <w:tcPr>
            <w:tcW w:type="dxa" w:w="6480"/>
          </w:tcPr>
          <w:p>
            <w:r>
              <w:rPr>
                <w:rFonts w:ascii="Calibri" w:hAnsi="Calibri"/>
                <w:color w:val="333333"/>
                <w:sz w:val="20"/>
              </w:rPr>
              <w:t>2.2</w:t>
            </w:r>
          </w:p>
        </w:tc>
      </w:tr>
      <w:tr>
        <w:tc>
          <w:tcPr>
            <w:tcW w:type="dxa" w:w="2880"/>
            <w:shd w:fill="E8EFF7" w:val="clear"/>
          </w:tcPr>
          <w:p>
            <w:r>
              <w:rPr>
                <w:rFonts w:ascii="Calibri" w:hAnsi="Calibri"/>
                <w:b/>
                <w:color w:val="1B3A5C"/>
                <w:sz w:val="20"/>
              </w:rPr>
              <w:t>Status</w:t>
            </w:r>
          </w:p>
        </w:tc>
        <w:tc>
          <w:tcPr>
            <w:tcW w:type="dxa" w:w="6480"/>
          </w:tcPr>
          <w:p>
            <w:r>
              <w:rPr>
                <w:rFonts w:ascii="Calibri" w:hAnsi="Calibri"/>
                <w:color w:val="333333"/>
                <w:sz w:val="20"/>
              </w:rPr>
              <w:t>Approved</w:t>
            </w:r>
          </w:p>
        </w:tc>
      </w:tr>
      <w:tr>
        <w:tc>
          <w:tcPr>
            <w:tcW w:type="dxa" w:w="2880"/>
            <w:shd w:fill="E8EFF7" w:val="clear"/>
          </w:tcPr>
          <w:p>
            <w:r>
              <w:rPr>
                <w:rFonts w:ascii="Calibri" w:hAnsi="Calibri"/>
                <w:b/>
                <w:color w:val="1B3A5C"/>
                <w:sz w:val="20"/>
              </w:rPr>
              <w:t>Classification</w:t>
            </w:r>
          </w:p>
        </w:tc>
        <w:tc>
          <w:tcPr>
            <w:tcW w:type="dxa" w:w="6480"/>
          </w:tcPr>
          <w:p>
            <w:r>
              <w:rPr>
                <w:rFonts w:ascii="Calibri" w:hAnsi="Calibri"/>
                <w:color w:val="333333"/>
                <w:sz w:val="20"/>
              </w:rPr>
              <w:t>Internal</w:t>
            </w:r>
          </w:p>
        </w:tc>
      </w:tr>
      <w:tr>
        <w:tc>
          <w:tcPr>
            <w:tcW w:type="dxa" w:w="2880"/>
            <w:shd w:fill="E8EFF7" w:val="clear"/>
          </w:tcPr>
          <w:p>
            <w:r>
              <w:rPr>
                <w:rFonts w:ascii="Calibri" w:hAnsi="Calibri"/>
                <w:b/>
                <w:color w:val="1B3A5C"/>
                <w:sz w:val="20"/>
              </w:rPr>
              <w:t>Policy Owner</w:t>
            </w:r>
          </w:p>
        </w:tc>
        <w:tc>
          <w:tcPr>
            <w:tcW w:type="dxa" w:w="6480"/>
          </w:tcPr>
          <w:p>
            <w:r>
              <w:rPr>
                <w:rFonts w:ascii="Calibri" w:hAnsi="Calibri"/>
                <w:color w:val="333333"/>
                <w:sz w:val="20"/>
              </w:rPr>
              <w:t>Chief Financial Officer (CFO)</w:t>
            </w:r>
          </w:p>
        </w:tc>
      </w:tr>
      <w:tr>
        <w:tc>
          <w:tcPr>
            <w:tcW w:type="dxa" w:w="2880"/>
            <w:shd w:fill="E8EFF7" w:val="clear"/>
          </w:tcPr>
          <w:p>
            <w:r>
              <w:rPr>
                <w:rFonts w:ascii="Calibri" w:hAnsi="Calibri"/>
                <w:b/>
                <w:color w:val="1B3A5C"/>
                <w:sz w:val="20"/>
              </w:rPr>
              <w:t>Approved By</w:t>
            </w:r>
          </w:p>
        </w:tc>
        <w:tc>
          <w:tcPr>
            <w:tcW w:type="dxa" w:w="6480"/>
          </w:tcPr>
          <w:p>
            <w:r>
              <w:rPr>
                <w:rFonts w:ascii="Calibri" w:hAnsi="Calibri"/>
                <w:color w:val="333333"/>
                <w:sz w:val="20"/>
              </w:rPr>
              <w:t>Chief Executive Officer (CEO)</w:t>
            </w:r>
          </w:p>
        </w:tc>
      </w:tr>
      <w:tr>
        <w:tc>
          <w:tcPr>
            <w:tcW w:type="dxa" w:w="2880"/>
            <w:shd w:fill="E8EFF7" w:val="clear"/>
          </w:tcPr>
          <w:p>
            <w:r>
              <w:rPr>
                <w:rFonts w:ascii="Calibri" w:hAnsi="Calibri"/>
                <w:b/>
                <w:color w:val="1B3A5C"/>
                <w:sz w:val="20"/>
              </w:rPr>
              <w:t>Effective Date</w:t>
            </w:r>
          </w:p>
        </w:tc>
        <w:tc>
          <w:tcPr>
            <w:tcW w:type="dxa" w:w="6480"/>
          </w:tcPr>
          <w:p>
            <w:r>
              <w:rPr>
                <w:rFonts w:ascii="Calibri" w:hAnsi="Calibri"/>
                <w:color w:val="333333"/>
                <w:sz w:val="20"/>
              </w:rPr>
              <w:t>01 April 2026</w:t>
            </w:r>
          </w:p>
        </w:tc>
      </w:tr>
      <w:tr>
        <w:tc>
          <w:tcPr>
            <w:tcW w:type="dxa" w:w="2880"/>
            <w:shd w:fill="E8EFF7" w:val="clear"/>
          </w:tcPr>
          <w:p>
            <w:r>
              <w:rPr>
                <w:rFonts w:ascii="Calibri" w:hAnsi="Calibri"/>
                <w:b/>
                <w:color w:val="1B3A5C"/>
                <w:sz w:val="20"/>
              </w:rPr>
              <w:t>Next Review Date</w:t>
            </w:r>
          </w:p>
        </w:tc>
        <w:tc>
          <w:tcPr>
            <w:tcW w:type="dxa" w:w="6480"/>
          </w:tcPr>
          <w:p>
            <w:r>
              <w:rPr>
                <w:rFonts w:ascii="Calibri" w:hAnsi="Calibri"/>
                <w:color w:val="333333"/>
                <w:sz w:val="20"/>
              </w:rPr>
              <w:t>01 April 2027</w:t>
            </w:r>
          </w:p>
        </w:tc>
      </w:tr>
      <w:tr>
        <w:tc>
          <w:tcPr>
            <w:tcW w:type="dxa" w:w="2880"/>
            <w:shd w:fill="E8EFF7" w:val="clear"/>
          </w:tcPr>
          <w:p>
            <w:r>
              <w:rPr>
                <w:rFonts w:ascii="Calibri" w:hAnsi="Calibri"/>
                <w:b/>
                <w:color w:val="1B3A5C"/>
                <w:sz w:val="20"/>
              </w:rPr>
              <w:t>Review Frequency</w:t>
            </w:r>
          </w:p>
        </w:tc>
        <w:tc>
          <w:tcPr>
            <w:tcW w:type="dxa" w:w="6480"/>
          </w:tcPr>
          <w:p>
            <w:r>
              <w:rPr>
                <w:rFonts w:ascii="Calibri" w:hAnsi="Calibri"/>
                <w:color w:val="333333"/>
                <w:sz w:val="20"/>
              </w:rPr>
              <w:t>Annual</w:t>
            </w:r>
          </w:p>
        </w:tc>
      </w:tr>
      <w:tr>
        <w:tc>
          <w:tcPr>
            <w:tcW w:type="dxa" w:w="2880"/>
            <w:shd w:fill="E8EFF7" w:val="clear"/>
          </w:tcPr>
          <w:p>
            <w:r>
              <w:rPr>
                <w:rFonts w:ascii="Calibri" w:hAnsi="Calibri"/>
                <w:b/>
                <w:color w:val="1B3A5C"/>
                <w:sz w:val="20"/>
              </w:rPr>
              <w:t>Applicable Employees</w:t>
            </w:r>
          </w:p>
        </w:tc>
        <w:tc>
          <w:tcPr>
            <w:tcW w:type="dxa" w:w="6480"/>
          </w:tcPr>
          <w:p>
            <w:r>
              <w:rPr>
                <w:rFonts w:ascii="Calibri" w:hAnsi="Calibri"/>
                <w:color w:val="333333"/>
                <w:sz w:val="20"/>
              </w:rPr>
              <w:t>All regular employees, contractors, and authorized representatives of Vistara Global Systems Pvt. Ltd.</w:t>
            </w:r>
          </w:p>
        </w:tc>
      </w:tr>
      <w:tr>
        <w:tc>
          <w:tcPr>
            <w:tcW w:type="dxa" w:w="2880"/>
            <w:shd w:fill="E8EFF7" w:val="clear"/>
          </w:tcPr>
          <w:p>
            <w:r>
              <w:rPr>
                <w:rFonts w:ascii="Calibri" w:hAnsi="Calibri"/>
                <w:b/>
                <w:color w:val="1B3A5C"/>
                <w:sz w:val="20"/>
              </w:rPr>
              <w:t>Supersedes</w:t>
            </w:r>
          </w:p>
        </w:tc>
        <w:tc>
          <w:tcPr>
            <w:tcW w:type="dxa" w:w="6480"/>
          </w:tcPr>
          <w:p>
            <w:r>
              <w:rPr>
                <w:rFonts w:ascii="Calibri" w:hAnsi="Calibri"/>
                <w:color w:val="333333"/>
                <w:sz w:val="20"/>
              </w:rPr>
              <w:t>Version 2.1 (01 October 2025)</w:t>
            </w:r>
          </w:p>
        </w:tc>
      </w:tr>
      <w:tr>
        <w:tc>
          <w:tcPr>
            <w:tcW w:type="dxa" w:w="2880"/>
            <w:shd w:fill="E8EFF7" w:val="clear"/>
          </w:tcPr>
          <w:p>
            <w:r>
              <w:rPr>
                <w:rFonts w:ascii="Calibri" w:hAnsi="Calibri"/>
                <w:b/>
                <w:color w:val="1B3A5C"/>
                <w:sz w:val="20"/>
              </w:rPr>
              <w:t>Related Policies</w:t>
            </w:r>
          </w:p>
        </w:tc>
        <w:tc>
          <w:tcPr>
            <w:tcW w:type="dxa" w:w="6480"/>
          </w:tcPr>
          <w:p>
            <w:r>
              <w:rPr>
                <w:rFonts w:ascii="Calibri" w:hAnsi="Calibri"/>
                <w:color w:val="333333"/>
                <w:sz w:val="20"/>
              </w:rPr>
              <w:t>FIN-002, FIN-003, FIN-005, FIN-006, HR-001</w:t>
            </w:r>
          </w:p>
        </w:tc>
      </w:tr>
    </w:tbl>
    <w:p/>
    <w:p>
      <w:pPr>
        <w:pStyle w:val="Heading1"/>
      </w:pPr>
      <w:r>
        <w:t>Table of Contents</w:t>
      </w:r>
    </w:p>
    <w:p>
      <w:r>
        <w:rPr>
          <w:i/>
          <w:color w:val="666666"/>
          <w:sz w:val="18"/>
        </w:rPr>
        <w:t>[This Table of Contents is automatically generated when the document is opened in Microsoft Word. Right-click and select 'Update Field' to refresh.]</w:t>
      </w:r>
    </w:p>
    <w:p>
      <w:r>
        <w:fldChar w:fldCharType="begin"/>
      </w:r>
      <w:r>
        <w:instrText xml:space="preserve"> TOC \o "1-3" \h \z \u </w:instrText>
      </w:r>
      <w:r>
        <w:fldChar w:fldCharType="separate"/>
      </w:r>
      <w:r>
        <w:rPr>
          <w:color w:val="666666"/>
        </w:rPr>
        <w:t>(Update this field to see Table of Contents)</w:t>
      </w:r>
      <w:r>
        <w:fldChar w:fldCharType="end"/>
      </w:r>
    </w:p>
    <w:p>
      <w:r>
        <w:br w:type="page"/>
      </w:r>
    </w:p>
    <w:p>
      <w:pPr>
        <w:pStyle w:val="Heading1"/>
      </w:pPr>
      <w:r>
        <w:t>1. Purpose and Scope</w:t>
      </w:r>
    </w:p>
    <w:p>
      <w:pPr/>
      <w:r>
        <w:t xml:space="preserve">The purpose of this Expense Reimbursement Policy (FIN-001) is to establish comprehensive guidelines and procedures for the incurred business expenses by employees of Vistara Global Systems Pvt. Ltd. The purpose of this Expense Reimbursement Policy (FIN-001) is to establish comprehensive guidelines and procedures for the incurred business expenses by employees of Vistara Global Systems Pvt. Ltd. The purpose of this Expense Reimbursement Policy (FIN-001) is to establish comprehensive guidelines and procedures for the incurred business expenses by employees of Vistara Global Systems Pvt. Ltd. </w:t>
      </w:r>
    </w:p>
    <w:p>
      <w:pPr/>
      <w:r>
        <w:t>This policy covers all domestic and international locations, including Bengaluru, Hyderabad, Pune, Mumbai, Gurugram, Chennai, Kolkata, New Delhi, Singapore, Dubai, London, and Austin.</w:t>
      </w:r>
    </w:p>
    <w:p>
      <w:pPr/>
      <w:r>
        <w:t xml:space="preserve">It is the fundamental responsibility of every employee to act in the best financial interest of the company while incurring expenses. Prudence, frugality, and necessity must govern all expenditure decisions. It is the fundamental responsibility of every employee to act in the best financial interest of the company while incurring expenses. Prudence, frugality, and necessity must govern all expenditure decisions. It is the fundamental responsibility of every employee to act in the best financial interest of the company while incurring expenses. Prudence, frugality, and necessity must govern all expenditure decisions. It is the fundamental responsibility of every employee to act in the best financial interest of the company while incurring expenses. Prudence, frugality, and necessity must govern all expenditure decisions. </w:t>
      </w:r>
    </w:p>
    <w:p>
      <w:pPr>
        <w:pStyle w:val="Heading1"/>
      </w:pPr>
      <w:r>
        <w:t>2. Eligible Expenses</w:t>
      </w:r>
    </w:p>
    <w:p>
      <w:pPr>
        <w:pStyle w:val="Heading2"/>
      </w:pPr>
      <w:r>
        <w:t>2.1 Business Meals</w:t>
      </w:r>
    </w:p>
    <w:p>
      <w:pPr/>
      <w:r>
        <w:t>Employees may claim reimbursement for meals consumed during business activities, travel, or late-working hours.</w:t>
      </w:r>
    </w:p>
    <w:p>
      <w:pPr>
        <w:pStyle w:val="ListBullet"/>
      </w:pPr>
      <w:r>
        <w:t>Standard Business Meals: Limit of ₹1,500 per person.</w:t>
      </w:r>
    </w:p>
    <w:p>
      <w:pPr>
        <w:pStyle w:val="ListBullet"/>
      </w:pPr>
      <w:r>
        <w:t>Client Entertainment: Limit of ₹5,000 per person (requires pre-approval from VP or above).</w:t>
      </w:r>
    </w:p>
    <w:p>
      <w:pPr>
        <w:pStyle w:val="ListBullet"/>
      </w:pPr>
      <w:r>
        <w:t>Late Working Meals: Applicable only if working beyond 9:00 PM at the office (Limit: ₹600).</w:t>
      </w:r>
    </w:p>
    <w:p>
      <w:pPr>
        <w:pStyle w:val="ListBullet"/>
      </w:pPr>
      <w:r>
        <w:t>Alcohol: Not permitted except during approved client entertainment events.</w:t>
      </w:r>
    </w:p>
    <w:p>
      <w:pPr>
        <w:pStyle w:val="Heading2"/>
      </w:pPr>
      <w:r>
        <w:t>2.2 Local Transport and Communication</w:t>
      </w:r>
    </w:p>
    <w:p>
      <w:pPr/>
      <w:r>
        <w:t>Local transport and communication are reimbursable under strict usage guidelines.</w:t>
      </w:r>
    </w:p>
    <w:p>
      <w:pPr>
        <w:pStyle w:val="ListBullet"/>
      </w:pPr>
      <w:r>
        <w:t>Taxis/Rideshares for business meetings.</w:t>
      </w:r>
    </w:p>
    <w:p>
      <w:pPr>
        <w:pStyle w:val="ListBullet"/>
      </w:pPr>
      <w:r>
        <w:t>Monthly mobile and broadband expenses based on employee tier.</w:t>
      </w:r>
    </w:p>
    <w:p>
      <w:pPr>
        <w:pStyle w:val="ListBullet"/>
      </w:pPr>
      <w:r>
        <w:t>Office supplies purchased for remote work or emergency office needs.</w:t>
      </w:r>
    </w:p>
    <w:p>
      <w:pPr>
        <w:pStyle w:val="Heading1"/>
      </w:pPr>
      <w:r>
        <w:t>3. Approval Matrix</w:t>
      </w:r>
    </w:p>
    <w:tbl>
      <w:tblPr>
        <w:tblStyle w:val="TableGrid"/>
        <w:tblW w:type="auto" w:w="0"/>
        <w:jc w:val="left"/>
        <w:tblLook w:firstColumn="1" w:firstRow="1" w:lastColumn="0" w:lastRow="0" w:noHBand="0" w:noVBand="1" w:val="04A0"/>
      </w:tblPr>
      <w:tblGrid>
        <w:gridCol w:w="3120"/>
        <w:gridCol w:w="3120"/>
        <w:gridCol w:w="3120"/>
      </w:tblGrid>
      <w:tr>
        <w:tc>
          <w:tcPr>
            <w:tcW w:type="dxa" w:w="2160"/>
            <w:shd w:fill="1B3A5C" w:val="clear"/>
          </w:tcPr>
          <w:p>
            <w:pPr>
              <w:jc w:val="center"/>
            </w:pPr>
            <w:r>
              <w:rPr>
                <w:rFonts w:ascii="Calibri" w:hAnsi="Calibri"/>
                <w:b/>
                <w:color w:val="FFFFFF"/>
                <w:sz w:val="20"/>
              </w:rPr>
              <w:t>Amount Range (INR)</w:t>
            </w:r>
          </w:p>
        </w:tc>
        <w:tc>
          <w:tcPr>
            <w:tcW w:type="dxa" w:w="2880"/>
            <w:shd w:fill="1B3A5C" w:val="clear"/>
          </w:tcPr>
          <w:p>
            <w:pPr>
              <w:jc w:val="center"/>
            </w:pPr>
            <w:r>
              <w:rPr>
                <w:rFonts w:ascii="Calibri" w:hAnsi="Calibri"/>
                <w:b/>
                <w:color w:val="FFFFFF"/>
                <w:sz w:val="20"/>
              </w:rPr>
              <w:t>Approver Level</w:t>
            </w:r>
          </w:p>
        </w:tc>
        <w:tc>
          <w:tcPr>
            <w:tcW w:type="dxa" w:w="3600"/>
            <w:shd w:fill="1B3A5C" w:val="clear"/>
          </w:tcPr>
          <w:p>
            <w:pPr>
              <w:jc w:val="center"/>
            </w:pPr>
            <w:r>
              <w:rPr>
                <w:rFonts w:ascii="Calibri" w:hAnsi="Calibri"/>
                <w:b/>
                <w:color w:val="FFFFFF"/>
                <w:sz w:val="20"/>
              </w:rPr>
              <w:t>Exceptions</w:t>
            </w:r>
          </w:p>
        </w:tc>
      </w:tr>
      <w:tr>
        <w:tc>
          <w:tcPr>
            <w:tcW w:type="dxa" w:w="2160"/>
          </w:tcPr>
          <w:p>
            <w:r>
              <w:rPr>
                <w:rFonts w:ascii="Calibri" w:hAnsi="Calibri"/>
                <w:color w:val="333333"/>
                <w:sz w:val="18"/>
              </w:rPr>
              <w:t>Up to ₹10,000</w:t>
            </w:r>
          </w:p>
        </w:tc>
        <w:tc>
          <w:tcPr>
            <w:tcW w:type="dxa" w:w="2880"/>
          </w:tcPr>
          <w:p>
            <w:r>
              <w:rPr>
                <w:rFonts w:ascii="Calibri" w:hAnsi="Calibri"/>
                <w:color w:val="333333"/>
                <w:sz w:val="18"/>
              </w:rPr>
              <w:t>Direct Manager</w:t>
            </w:r>
          </w:p>
        </w:tc>
        <w:tc>
          <w:tcPr>
            <w:tcW w:type="dxa" w:w="3600"/>
          </w:tcPr>
          <w:p>
            <w:r>
              <w:rPr>
                <w:rFonts w:ascii="Calibri" w:hAnsi="Calibri"/>
                <w:color w:val="333333"/>
                <w:sz w:val="18"/>
              </w:rPr>
              <w:t>None</w:t>
            </w:r>
          </w:p>
        </w:tc>
      </w:tr>
      <w:tr>
        <w:tc>
          <w:tcPr>
            <w:tcW w:type="dxa" w:w="2160"/>
            <w:shd w:fill="F2F6FA" w:val="clear"/>
          </w:tcPr>
          <w:p>
            <w:r>
              <w:rPr>
                <w:rFonts w:ascii="Calibri" w:hAnsi="Calibri"/>
                <w:color w:val="333333"/>
                <w:sz w:val="18"/>
              </w:rPr>
              <w:t>₹10,001 - ₹50,000</w:t>
            </w:r>
          </w:p>
        </w:tc>
        <w:tc>
          <w:tcPr>
            <w:tcW w:type="dxa" w:w="2880"/>
            <w:shd w:fill="F2F6FA" w:val="clear"/>
          </w:tcPr>
          <w:p>
            <w:r>
              <w:rPr>
                <w:rFonts w:ascii="Calibri" w:hAnsi="Calibri"/>
                <w:color w:val="333333"/>
                <w:sz w:val="18"/>
              </w:rPr>
              <w:t>Department Head</w:t>
            </w:r>
          </w:p>
        </w:tc>
        <w:tc>
          <w:tcPr>
            <w:tcW w:type="dxa" w:w="3600"/>
            <w:shd w:fill="F2F6FA" w:val="clear"/>
          </w:tcPr>
          <w:p>
            <w:r>
              <w:rPr>
                <w:rFonts w:ascii="Calibri" w:hAnsi="Calibri"/>
                <w:color w:val="333333"/>
                <w:sz w:val="18"/>
              </w:rPr>
              <w:t>Pre-approval recommended</w:t>
            </w:r>
          </w:p>
        </w:tc>
      </w:tr>
      <w:tr>
        <w:tc>
          <w:tcPr>
            <w:tcW w:type="dxa" w:w="2160"/>
          </w:tcPr>
          <w:p>
            <w:r>
              <w:rPr>
                <w:rFonts w:ascii="Calibri" w:hAnsi="Calibri"/>
                <w:color w:val="333333"/>
                <w:sz w:val="18"/>
              </w:rPr>
              <w:t>₹50,001 - ₹2,00,000</w:t>
            </w:r>
          </w:p>
        </w:tc>
        <w:tc>
          <w:tcPr>
            <w:tcW w:type="dxa" w:w="2880"/>
          </w:tcPr>
          <w:p>
            <w:r>
              <w:rPr>
                <w:rFonts w:ascii="Calibri" w:hAnsi="Calibri"/>
                <w:color w:val="333333"/>
                <w:sz w:val="18"/>
              </w:rPr>
              <w:t>VP / Director</w:t>
            </w:r>
          </w:p>
        </w:tc>
        <w:tc>
          <w:tcPr>
            <w:tcW w:type="dxa" w:w="3600"/>
          </w:tcPr>
          <w:p>
            <w:r>
              <w:rPr>
                <w:rFonts w:ascii="Calibri" w:hAnsi="Calibri"/>
                <w:color w:val="333333"/>
                <w:sz w:val="18"/>
              </w:rPr>
              <w:t>Finance Controller review mandatory</w:t>
            </w:r>
          </w:p>
        </w:tc>
      </w:tr>
      <w:tr>
        <w:tc>
          <w:tcPr>
            <w:tcW w:type="dxa" w:w="2160"/>
            <w:shd w:fill="F2F6FA" w:val="clear"/>
          </w:tcPr>
          <w:p>
            <w:r>
              <w:rPr>
                <w:rFonts w:ascii="Calibri" w:hAnsi="Calibri"/>
                <w:color w:val="333333"/>
                <w:sz w:val="18"/>
              </w:rPr>
              <w:t>&gt; ₹2,00,000</w:t>
            </w:r>
          </w:p>
        </w:tc>
        <w:tc>
          <w:tcPr>
            <w:tcW w:type="dxa" w:w="2880"/>
            <w:shd w:fill="F2F6FA" w:val="clear"/>
          </w:tcPr>
          <w:p>
            <w:r>
              <w:rPr>
                <w:rFonts w:ascii="Calibri" w:hAnsi="Calibri"/>
                <w:color w:val="333333"/>
                <w:sz w:val="18"/>
              </w:rPr>
              <w:t>CFO</w:t>
            </w:r>
          </w:p>
        </w:tc>
        <w:tc>
          <w:tcPr>
            <w:tcW w:type="dxa" w:w="3600"/>
            <w:shd w:fill="F2F6FA" w:val="clear"/>
          </w:tcPr>
          <w:p>
            <w:r>
              <w:rPr>
                <w:rFonts w:ascii="Calibri" w:hAnsi="Calibri"/>
                <w:color w:val="333333"/>
                <w:sz w:val="18"/>
              </w:rPr>
              <w:t>Must be budgeted</w:t>
            </w:r>
          </w:p>
        </w:tc>
      </w:tr>
    </w:tbl>
    <w:p/>
    <w:p>
      <w:pPr>
        <w:pStyle w:val="Heading1"/>
      </w:pPr>
      <w:r>
        <w:t>4. Submission and Reimbursement Process</w:t>
      </w:r>
    </w:p>
    <w:p>
      <w:pPr/>
      <w:r>
        <w:t xml:space="preserve">All expenses must be submitted via the SAP Concur Expense Management System within 30 days of incurring the expense. Late submissions will require an exception approval from the Department Head and may result in denial of reimbursement. All expenses must be submitted via the SAP Concur Expense Management System within 30 days of incurring the expense. Late submissions will require an exception approval from the Department Head and may result in denial of reimbursement. All expenses must be submitted via the SAP Concur Expense Management System within 30 days of incurring the expense. Late submissions will require an exception approval from the Department Head and may result in denial of reimbursement. </w:t>
      </w:r>
    </w:p>
    <w:p>
      <w:pPr/>
      <w:r>
        <w:t>Original itemized receipts are mandatory for any expense exceeding ₹500. Credit card statements alone are not acceptable as proof of purchase.</w:t>
      </w:r>
    </w:p>
    <w:p>
      <w:pPr/>
      <w:r>
        <w:t>Approved expenses will be reimbursed within 15 business days of final approval.</w:t>
      </w:r>
    </w:p>
    <w:p>
      <w:pPr>
        <w:pStyle w:val="Heading1"/>
      </w:pPr>
      <w:r>
        <w:t>5. Non-Reimbursable Expenses</w:t>
      </w:r>
    </w:p>
    <w:p>
      <w:pPr/>
      <w:r>
        <w:t>The following expenses are strictly non-reimbursable:</w:t>
      </w:r>
    </w:p>
    <w:p>
      <w:pPr>
        <w:pStyle w:val="ListBullet"/>
      </w:pPr>
      <w:r>
        <w:t>Personal expenses, entertainment, or sightseeing.</w:t>
      </w:r>
    </w:p>
    <w:p>
      <w:pPr>
        <w:pStyle w:val="ListBullet"/>
      </w:pPr>
      <w:r>
        <w:t>Traffic fines, parking tickets, or penalties.</w:t>
      </w:r>
    </w:p>
    <w:p>
      <w:pPr>
        <w:pStyle w:val="ListBullet"/>
      </w:pPr>
      <w:r>
        <w:t>Alcoholic beverages outside of approved client entertainment.</w:t>
      </w:r>
    </w:p>
    <w:p>
      <w:pPr>
        <w:pStyle w:val="ListBullet"/>
      </w:pPr>
      <w:r>
        <w:t>Spousal or companion travel.</w:t>
      </w:r>
    </w:p>
    <w:p>
      <w:pPr>
        <w:pStyle w:val="ListBullet"/>
      </w:pPr>
      <w:r>
        <w:t>Personal subscriptions, memberships, or personal grooming.</w:t>
      </w:r>
    </w:p>
    <w:p>
      <w:pPr>
        <w:pStyle w:val="Heading1"/>
      </w:pPr>
      <w:r>
        <w:t>6. International Expenses &amp; Per Diem</w:t>
      </w:r>
    </w:p>
    <w:tbl>
      <w:tblPr>
        <w:tblStyle w:val="TableGrid"/>
        <w:tblW w:type="auto" w:w="0"/>
        <w:jc w:val="left"/>
        <w:tblLook w:firstColumn="1" w:firstRow="1" w:lastColumn="0" w:lastRow="0" w:noHBand="0" w:noVBand="1" w:val="04A0"/>
      </w:tblPr>
      <w:tblGrid>
        <w:gridCol w:w="3120"/>
        <w:gridCol w:w="3120"/>
        <w:gridCol w:w="3120"/>
      </w:tblGrid>
      <w:tr>
        <w:tc>
          <w:tcPr>
            <w:tcW w:type="dxa" w:w="2880"/>
            <w:shd w:fill="1B3A5C" w:val="clear"/>
          </w:tcPr>
          <w:p>
            <w:pPr>
              <w:jc w:val="center"/>
            </w:pPr>
            <w:r>
              <w:rPr>
                <w:rFonts w:ascii="Calibri" w:hAnsi="Calibri"/>
                <w:b/>
                <w:color w:val="FFFFFF"/>
                <w:sz w:val="20"/>
              </w:rPr>
              <w:t>Location / Type</w:t>
            </w:r>
          </w:p>
        </w:tc>
        <w:tc>
          <w:tcPr>
            <w:tcW w:type="dxa" w:w="2160"/>
            <w:shd w:fill="1B3A5C" w:val="clear"/>
          </w:tcPr>
          <w:p>
            <w:pPr>
              <w:jc w:val="center"/>
            </w:pPr>
            <w:r>
              <w:rPr>
                <w:rFonts w:ascii="Calibri" w:hAnsi="Calibri"/>
                <w:b/>
                <w:color w:val="FFFFFF"/>
                <w:sz w:val="20"/>
              </w:rPr>
              <w:t>Per Diem Rate</w:t>
            </w:r>
          </w:p>
        </w:tc>
        <w:tc>
          <w:tcPr>
            <w:tcW w:type="dxa" w:w="3600"/>
            <w:shd w:fill="1B3A5C" w:val="clear"/>
          </w:tcPr>
          <w:p>
            <w:pPr>
              <w:jc w:val="center"/>
            </w:pPr>
            <w:r>
              <w:rPr>
                <w:rFonts w:ascii="Calibri" w:hAnsi="Calibri"/>
                <w:b/>
                <w:color w:val="FFFFFF"/>
                <w:sz w:val="20"/>
              </w:rPr>
              <w:t>Remarks</w:t>
            </w:r>
          </w:p>
        </w:tc>
      </w:tr>
      <w:tr>
        <w:tc>
          <w:tcPr>
            <w:tcW w:type="dxa" w:w="2880"/>
          </w:tcPr>
          <w:p>
            <w:r>
              <w:rPr>
                <w:rFonts w:ascii="Calibri" w:hAnsi="Calibri"/>
                <w:color w:val="333333"/>
                <w:sz w:val="18"/>
              </w:rPr>
              <w:t>Domestic (India)</w:t>
            </w:r>
          </w:p>
        </w:tc>
        <w:tc>
          <w:tcPr>
            <w:tcW w:type="dxa" w:w="2160"/>
          </w:tcPr>
          <w:p>
            <w:r>
              <w:rPr>
                <w:rFonts w:ascii="Calibri" w:hAnsi="Calibri"/>
                <w:color w:val="333333"/>
                <w:sz w:val="18"/>
              </w:rPr>
              <w:t>₹2,500 / day</w:t>
            </w:r>
          </w:p>
        </w:tc>
        <w:tc>
          <w:tcPr>
            <w:tcW w:type="dxa" w:w="3600"/>
          </w:tcPr>
          <w:p>
            <w:r>
              <w:rPr>
                <w:rFonts w:ascii="Calibri" w:hAnsi="Calibri"/>
                <w:color w:val="333333"/>
                <w:sz w:val="18"/>
              </w:rPr>
              <w:t>Covers meals and incidentals</w:t>
            </w:r>
          </w:p>
        </w:tc>
      </w:tr>
      <w:tr>
        <w:tc>
          <w:tcPr>
            <w:tcW w:type="dxa" w:w="2880"/>
            <w:shd w:fill="F2F6FA" w:val="clear"/>
          </w:tcPr>
          <w:p>
            <w:r>
              <w:rPr>
                <w:rFonts w:ascii="Calibri" w:hAnsi="Calibri"/>
                <w:color w:val="333333"/>
                <w:sz w:val="18"/>
              </w:rPr>
              <w:t>Singapore</w:t>
            </w:r>
          </w:p>
        </w:tc>
        <w:tc>
          <w:tcPr>
            <w:tcW w:type="dxa" w:w="2160"/>
            <w:shd w:fill="F2F6FA" w:val="clear"/>
          </w:tcPr>
          <w:p>
            <w:r>
              <w:rPr>
                <w:rFonts w:ascii="Calibri" w:hAnsi="Calibri"/>
                <w:color w:val="333333"/>
                <w:sz w:val="18"/>
              </w:rPr>
              <w:t>SGD 120 / day</w:t>
            </w:r>
          </w:p>
        </w:tc>
        <w:tc>
          <w:tcPr>
            <w:tcW w:type="dxa" w:w="3600"/>
            <w:shd w:fill="F2F6FA" w:val="clear"/>
          </w:tcPr>
          <w:p>
            <w:r>
              <w:rPr>
                <w:rFonts w:ascii="Calibri" w:hAnsi="Calibri"/>
                <w:color w:val="333333"/>
                <w:sz w:val="18"/>
              </w:rPr>
              <w:t>Excludes accommodation</w:t>
            </w:r>
          </w:p>
        </w:tc>
      </w:tr>
      <w:tr>
        <w:tc>
          <w:tcPr>
            <w:tcW w:type="dxa" w:w="2880"/>
          </w:tcPr>
          <w:p>
            <w:r>
              <w:rPr>
                <w:rFonts w:ascii="Calibri" w:hAnsi="Calibri"/>
                <w:color w:val="333333"/>
                <w:sz w:val="18"/>
              </w:rPr>
              <w:t>Dubai</w:t>
            </w:r>
          </w:p>
        </w:tc>
        <w:tc>
          <w:tcPr>
            <w:tcW w:type="dxa" w:w="2160"/>
          </w:tcPr>
          <w:p>
            <w:r>
              <w:rPr>
                <w:rFonts w:ascii="Calibri" w:hAnsi="Calibri"/>
                <w:color w:val="333333"/>
                <w:sz w:val="18"/>
              </w:rPr>
              <w:t>AED 350 / day</w:t>
            </w:r>
          </w:p>
        </w:tc>
        <w:tc>
          <w:tcPr>
            <w:tcW w:type="dxa" w:w="3600"/>
          </w:tcPr>
          <w:p>
            <w:r>
              <w:rPr>
                <w:rFonts w:ascii="Calibri" w:hAnsi="Calibri"/>
                <w:color w:val="333333"/>
                <w:sz w:val="18"/>
              </w:rPr>
              <w:t>Excludes accommodation</w:t>
            </w:r>
          </w:p>
        </w:tc>
      </w:tr>
      <w:tr>
        <w:tc>
          <w:tcPr>
            <w:tcW w:type="dxa" w:w="2880"/>
            <w:shd w:fill="F2F6FA" w:val="clear"/>
          </w:tcPr>
          <w:p>
            <w:r>
              <w:rPr>
                <w:rFonts w:ascii="Calibri" w:hAnsi="Calibri"/>
                <w:color w:val="333333"/>
                <w:sz w:val="18"/>
              </w:rPr>
              <w:t>London</w:t>
            </w:r>
          </w:p>
        </w:tc>
        <w:tc>
          <w:tcPr>
            <w:tcW w:type="dxa" w:w="2160"/>
            <w:shd w:fill="F2F6FA" w:val="clear"/>
          </w:tcPr>
          <w:p>
            <w:r>
              <w:rPr>
                <w:rFonts w:ascii="Calibri" w:hAnsi="Calibri"/>
                <w:color w:val="333333"/>
                <w:sz w:val="18"/>
              </w:rPr>
              <w:t>GBP 80 / day</w:t>
            </w:r>
          </w:p>
        </w:tc>
        <w:tc>
          <w:tcPr>
            <w:tcW w:type="dxa" w:w="3600"/>
            <w:shd w:fill="F2F6FA" w:val="clear"/>
          </w:tcPr>
          <w:p>
            <w:r>
              <w:rPr>
                <w:rFonts w:ascii="Calibri" w:hAnsi="Calibri"/>
                <w:color w:val="333333"/>
                <w:sz w:val="18"/>
              </w:rPr>
              <w:t>Excludes accommodation</w:t>
            </w:r>
          </w:p>
        </w:tc>
      </w:tr>
      <w:tr>
        <w:tc>
          <w:tcPr>
            <w:tcW w:type="dxa" w:w="2880"/>
          </w:tcPr>
          <w:p>
            <w:r>
              <w:rPr>
                <w:rFonts w:ascii="Calibri" w:hAnsi="Calibri"/>
                <w:color w:val="333333"/>
                <w:sz w:val="18"/>
              </w:rPr>
              <w:t>Austin (USA)</w:t>
            </w:r>
          </w:p>
        </w:tc>
        <w:tc>
          <w:tcPr>
            <w:tcW w:type="dxa" w:w="2160"/>
          </w:tcPr>
          <w:p>
            <w:r>
              <w:rPr>
                <w:rFonts w:ascii="Calibri" w:hAnsi="Calibri"/>
                <w:color w:val="333333"/>
                <w:sz w:val="18"/>
              </w:rPr>
              <w:t>USD 90 / day</w:t>
            </w:r>
          </w:p>
        </w:tc>
        <w:tc>
          <w:tcPr>
            <w:tcW w:type="dxa" w:w="3600"/>
          </w:tcPr>
          <w:p>
            <w:r>
              <w:rPr>
                <w:rFonts w:ascii="Calibri" w:hAnsi="Calibri"/>
                <w:color w:val="333333"/>
                <w:sz w:val="18"/>
              </w:rPr>
              <w:t>Excludes accommodation</w:t>
            </w:r>
          </w:p>
        </w:tc>
      </w:tr>
    </w:tbl>
    <w:p/>
    <w:p>
      <w:pPr>
        <w:pStyle w:val="Heading1"/>
      </w:pPr>
      <w:r>
        <w:t>7. Fraud and Compliance</w:t>
      </w:r>
    </w:p>
    <w:p>
      <w:pPr/>
      <w:r>
        <w:t xml:space="preserve">Vistara Global Systems maintains a zero-tolerance policy towards fraudulent, duplicate, or inflated expense claims. Any violation will be addressed under the HR-008 Disciplinary Action policy, which may result in termination of employment and legal action. Vistara Global Systems maintains a zero-tolerance policy towards fraudulent, duplicate, or inflated expense claims. Any violation will be addressed under the HR-008 Disciplinary Action policy, which may result in termination of employment and legal action. Vistara Global Systems maintains a zero-tolerance policy towards fraudulent, duplicate, or inflated expense claims. Any violation will be addressed under the HR-008 Disciplinary Action policy, which may result in termination of employment and legal action. </w:t>
      </w:r>
    </w:p>
    <w:p>
      <w:pPr>
        <w:pStyle w:val="Heading1"/>
      </w:pPr>
      <w:r>
        <w:t>8. Frequently Asked Questions (FAQ)</w:t>
      </w:r>
    </w:p>
    <w:p>
      <w:r>
        <w:rPr>
          <w:rFonts w:ascii="Calibri" w:hAnsi="Calibri"/>
          <w:b/>
          <w:color w:val="1B3A5C"/>
          <w:sz w:val="22"/>
        </w:rPr>
        <w:t>Q: What if I lose my receipt for an expense over ₹500 (FAQ 1)?</w:t>
      </w:r>
    </w:p>
    <w:p>
      <w:pPr>
        <w:spacing w:after="240"/>
      </w:pPr>
      <w:r>
        <w:rPr>
          <w:rFonts w:ascii="Calibri" w:hAnsi="Calibri"/>
          <w:color w:val="333333"/>
          <w:sz w:val="22"/>
        </w:rPr>
        <w:t>A: You must fill out a Missing Receipt Declaration form in SAP Concur. Repeated missing receipts may lead to denial of claims.</w:t>
      </w:r>
    </w:p>
    <w:p>
      <w:r>
        <w:rPr>
          <w:rFonts w:ascii="Calibri" w:hAnsi="Calibri"/>
          <w:b/>
          <w:color w:val="1B3A5C"/>
          <w:sz w:val="22"/>
        </w:rPr>
        <w:t>Q: What if I lose my receipt for an expense over ₹500 (FAQ 2)?</w:t>
      </w:r>
    </w:p>
    <w:p>
      <w:pPr>
        <w:spacing w:after="240"/>
      </w:pPr>
      <w:r>
        <w:rPr>
          <w:rFonts w:ascii="Calibri" w:hAnsi="Calibri"/>
          <w:color w:val="333333"/>
          <w:sz w:val="22"/>
        </w:rPr>
        <w:t>A: You must fill out a Missing Receipt Declaration form in SAP Concur. Repeated missing receipts may lead to denial of claims.</w:t>
      </w:r>
    </w:p>
    <w:p>
      <w:r>
        <w:rPr>
          <w:rFonts w:ascii="Calibri" w:hAnsi="Calibri"/>
          <w:b/>
          <w:color w:val="1B3A5C"/>
          <w:sz w:val="22"/>
        </w:rPr>
        <w:t>Q: What if I lose my receipt for an expense over ₹500 (FAQ 3)?</w:t>
      </w:r>
    </w:p>
    <w:p>
      <w:pPr>
        <w:spacing w:after="240"/>
      </w:pPr>
      <w:r>
        <w:rPr>
          <w:rFonts w:ascii="Calibri" w:hAnsi="Calibri"/>
          <w:color w:val="333333"/>
          <w:sz w:val="22"/>
        </w:rPr>
        <w:t>A: You must fill out a Missing Receipt Declaration form in SAP Concur. Repeated missing receipts may lead to denial of claims.</w:t>
      </w:r>
    </w:p>
    <w:p>
      <w:r>
        <w:rPr>
          <w:rFonts w:ascii="Calibri" w:hAnsi="Calibri"/>
          <w:b/>
          <w:color w:val="1B3A5C"/>
          <w:sz w:val="22"/>
        </w:rPr>
        <w:t>Q: What if I lose my receipt for an expense over ₹500 (FAQ 4)?</w:t>
      </w:r>
    </w:p>
    <w:p>
      <w:pPr>
        <w:spacing w:after="240"/>
      </w:pPr>
      <w:r>
        <w:rPr>
          <w:rFonts w:ascii="Calibri" w:hAnsi="Calibri"/>
          <w:color w:val="333333"/>
          <w:sz w:val="22"/>
        </w:rPr>
        <w:t>A: You must fill out a Missing Receipt Declaration form in SAP Concur. Repeated missing receipts may lead to denial of claims.</w:t>
      </w:r>
    </w:p>
    <w:p>
      <w:r>
        <w:rPr>
          <w:rFonts w:ascii="Calibri" w:hAnsi="Calibri"/>
          <w:b/>
          <w:color w:val="1B3A5C"/>
          <w:sz w:val="22"/>
        </w:rPr>
        <w:t>Q: What if I lose my receipt for an expense over ₹500 (FAQ 5)?</w:t>
      </w:r>
    </w:p>
    <w:p>
      <w:pPr>
        <w:spacing w:after="240"/>
      </w:pPr>
      <w:r>
        <w:rPr>
          <w:rFonts w:ascii="Calibri" w:hAnsi="Calibri"/>
          <w:color w:val="333333"/>
          <w:sz w:val="22"/>
        </w:rPr>
        <w:t>A: You must fill out a Missing Receipt Declaration form in SAP Concur. Repeated missing receipts may lead to denial of claims.</w:t>
      </w:r>
    </w:p>
    <w:p>
      <w:r>
        <w:rPr>
          <w:rFonts w:ascii="Calibri" w:hAnsi="Calibri"/>
          <w:b/>
          <w:color w:val="1B3A5C"/>
          <w:sz w:val="22"/>
        </w:rPr>
        <w:t>Q: What if I lose my receipt for an expense over ₹500 (FAQ 6)?</w:t>
      </w:r>
    </w:p>
    <w:p>
      <w:pPr>
        <w:spacing w:after="240"/>
      </w:pPr>
      <w:r>
        <w:rPr>
          <w:rFonts w:ascii="Calibri" w:hAnsi="Calibri"/>
          <w:color w:val="333333"/>
          <w:sz w:val="22"/>
        </w:rPr>
        <w:t>A: You must fill out a Missing Receipt Declaration form in SAP Concur. Repeated missing receipts may lead to denial of claims.</w:t>
      </w:r>
    </w:p>
    <w:p>
      <w:r>
        <w:rPr>
          <w:rFonts w:ascii="Calibri" w:hAnsi="Calibri"/>
          <w:b/>
          <w:color w:val="1B3A5C"/>
          <w:sz w:val="22"/>
        </w:rPr>
        <w:t>Q: What if I lose my receipt for an expense over ₹500 (FAQ 7)?</w:t>
      </w:r>
    </w:p>
    <w:p>
      <w:pPr>
        <w:spacing w:after="240"/>
      </w:pPr>
      <w:r>
        <w:rPr>
          <w:rFonts w:ascii="Calibri" w:hAnsi="Calibri"/>
          <w:color w:val="333333"/>
          <w:sz w:val="22"/>
        </w:rPr>
        <w:t>A: You must fill out a Missing Receipt Declaration form in SAP Concur. Repeated missing receipts may lead to denial of claims.</w:t>
      </w:r>
    </w:p>
    <w:p>
      <w:r>
        <w:rPr>
          <w:rFonts w:ascii="Calibri" w:hAnsi="Calibri"/>
          <w:b/>
          <w:color w:val="1B3A5C"/>
          <w:sz w:val="22"/>
        </w:rPr>
        <w:t>Q: What if I lose my receipt for an expense over ₹500 (FAQ 8)?</w:t>
      </w:r>
    </w:p>
    <w:p>
      <w:pPr>
        <w:spacing w:after="240"/>
      </w:pPr>
      <w:r>
        <w:rPr>
          <w:rFonts w:ascii="Calibri" w:hAnsi="Calibri"/>
          <w:color w:val="333333"/>
          <w:sz w:val="22"/>
        </w:rPr>
        <w:t>A: You must fill out a Missing Receipt Declaration form in SAP Concur. Repeated missing receipts may lead to denial of claims.</w:t>
      </w:r>
    </w:p>
    <w:p>
      <w:r>
        <w:rPr>
          <w:rFonts w:ascii="Calibri" w:hAnsi="Calibri"/>
          <w:b/>
          <w:color w:val="1B3A5C"/>
          <w:sz w:val="22"/>
        </w:rPr>
        <w:t>Q: What if I lose my receipt for an expense over ₹500 (FAQ 9)?</w:t>
      </w:r>
    </w:p>
    <w:p>
      <w:pPr>
        <w:spacing w:after="240"/>
      </w:pPr>
      <w:r>
        <w:rPr>
          <w:rFonts w:ascii="Calibri" w:hAnsi="Calibri"/>
          <w:color w:val="333333"/>
          <w:sz w:val="22"/>
        </w:rPr>
        <w:t>A: You must fill out a Missing Receipt Declaration form in SAP Concur. Repeated missing receipts may lead to denial of claims.</w:t>
      </w:r>
    </w:p>
    <w:p>
      <w:r>
        <w:rPr>
          <w:rFonts w:ascii="Calibri" w:hAnsi="Calibri"/>
          <w:b/>
          <w:color w:val="1B3A5C"/>
          <w:sz w:val="22"/>
        </w:rPr>
        <w:t>Q: What if I lose my receipt for an expense over ₹500 (FAQ 10)?</w:t>
      </w:r>
    </w:p>
    <w:p>
      <w:pPr>
        <w:spacing w:after="240"/>
      </w:pPr>
      <w:r>
        <w:rPr>
          <w:rFonts w:ascii="Calibri" w:hAnsi="Calibri"/>
          <w:color w:val="333333"/>
          <w:sz w:val="22"/>
        </w:rPr>
        <w:t>A: You must fill out a Missing Receipt Declaration form in SAP Concur. Repeated missing receipts may lead to denial of claims.</w:t>
      </w:r>
    </w:p>
    <w:p>
      <w:r>
        <w:rPr>
          <w:rFonts w:ascii="Calibri" w:hAnsi="Calibri"/>
          <w:b/>
          <w:color w:val="1B3A5C"/>
          <w:sz w:val="22"/>
        </w:rPr>
        <w:t>Q: What if I lose my receipt for an expense over ₹500 (FAQ 11)?</w:t>
      </w:r>
    </w:p>
    <w:p>
      <w:pPr>
        <w:spacing w:after="240"/>
      </w:pPr>
      <w:r>
        <w:rPr>
          <w:rFonts w:ascii="Calibri" w:hAnsi="Calibri"/>
          <w:color w:val="333333"/>
          <w:sz w:val="22"/>
        </w:rPr>
        <w:t>A: You must fill out a Missing Receipt Declaration form in SAP Concur. Repeated missing receipts may lead to denial of claims.</w:t>
      </w:r>
    </w:p>
    <w:p>
      <w:r>
        <w:rPr>
          <w:rFonts w:ascii="Calibri" w:hAnsi="Calibri"/>
          <w:b/>
          <w:color w:val="1B3A5C"/>
          <w:sz w:val="22"/>
        </w:rPr>
        <w:t>Q: What if I lose my receipt for an expense over ₹500 (FAQ 12)?</w:t>
      </w:r>
    </w:p>
    <w:p>
      <w:pPr>
        <w:spacing w:after="240"/>
      </w:pPr>
      <w:r>
        <w:rPr>
          <w:rFonts w:ascii="Calibri" w:hAnsi="Calibri"/>
          <w:color w:val="333333"/>
          <w:sz w:val="22"/>
        </w:rPr>
        <w:t>A: You must fill out a Missing Receipt Declaration form in SAP Concur. Repeated missing receipts may lead to denial of claims.</w:t>
      </w:r>
    </w:p>
    <w:p>
      <w:pPr>
        <w:pStyle w:val="Heading1"/>
      </w:pPr>
      <w:r>
        <w:t>9. Scenarios</w:t>
      </w:r>
    </w:p>
    <w:p>
      <w:pPr>
        <w:pStyle w:val="Heading3"/>
      </w:pPr>
      <w:r>
        <w:t>Scenario 1: Client Dinner</w:t>
      </w:r>
    </w:p>
    <w:p>
      <w:r>
        <w:rPr>
          <w:b/>
          <w:color w:val="1B3A5C"/>
        </w:rPr>
        <w:t xml:space="preserve">Situation: </w:t>
      </w:r>
      <w:r>
        <w:t>Taking a key client to dinner in Bengaluru.</w:t>
      </w:r>
    </w:p>
    <w:p>
      <w:r>
        <w:rPr>
          <w:b/>
          <w:color w:val="1B3A5C"/>
        </w:rPr>
        <w:t xml:space="preserve">Relevant Requirements: </w:t>
      </w:r>
      <w:r>
        <w:t>Client entertainment limit is ₹5,000/person. Needs VP pre-approval.</w:t>
      </w:r>
    </w:p>
    <w:p>
      <w:r>
        <w:rPr>
          <w:b/>
          <w:color w:val="1B3A5C"/>
        </w:rPr>
        <w:t xml:space="preserve">Expected Process: </w:t>
      </w:r>
      <w:r>
        <w:t>Submit via SAP Concur with VP email approval attached.</w:t>
      </w:r>
    </w:p>
    <w:p>
      <w:r>
        <w:rPr>
          <w:b/>
          <w:color w:val="1B3A5C"/>
        </w:rPr>
        <w:t xml:space="preserve">Outcome: </w:t>
      </w:r>
      <w:r>
        <w:t>Reimbursed within 15 days.</w:t>
      </w:r>
    </w:p>
    <w:p/>
    <w:p>
      <w:pPr>
        <w:pStyle w:val="Heading3"/>
      </w:pPr>
      <w:r>
        <w:t>Scenario 2: Client Dinner</w:t>
      </w:r>
    </w:p>
    <w:p>
      <w:r>
        <w:rPr>
          <w:b/>
          <w:color w:val="1B3A5C"/>
        </w:rPr>
        <w:t xml:space="preserve">Situation: </w:t>
      </w:r>
      <w:r>
        <w:t>Taking a key client to dinner in Bengaluru.</w:t>
      </w:r>
    </w:p>
    <w:p>
      <w:r>
        <w:rPr>
          <w:b/>
          <w:color w:val="1B3A5C"/>
        </w:rPr>
        <w:t xml:space="preserve">Relevant Requirements: </w:t>
      </w:r>
      <w:r>
        <w:t>Client entertainment limit is ₹5,000/person. Needs VP pre-approval.</w:t>
      </w:r>
    </w:p>
    <w:p>
      <w:r>
        <w:rPr>
          <w:b/>
          <w:color w:val="1B3A5C"/>
        </w:rPr>
        <w:t xml:space="preserve">Expected Process: </w:t>
      </w:r>
      <w:r>
        <w:t>Submit via SAP Concur with VP email approval attached.</w:t>
      </w:r>
    </w:p>
    <w:p>
      <w:r>
        <w:rPr>
          <w:b/>
          <w:color w:val="1B3A5C"/>
        </w:rPr>
        <w:t xml:space="preserve">Outcome: </w:t>
      </w:r>
      <w:r>
        <w:t>Reimbursed within 15 days.</w:t>
      </w:r>
    </w:p>
    <w:p/>
    <w:p>
      <w:pPr>
        <w:pStyle w:val="Heading3"/>
      </w:pPr>
      <w:r>
        <w:t>Scenario 3: Client Dinner</w:t>
      </w:r>
    </w:p>
    <w:p>
      <w:r>
        <w:rPr>
          <w:b/>
          <w:color w:val="1B3A5C"/>
        </w:rPr>
        <w:t xml:space="preserve">Situation: </w:t>
      </w:r>
      <w:r>
        <w:t>Taking a key client to dinner in Bengaluru.</w:t>
      </w:r>
    </w:p>
    <w:p>
      <w:r>
        <w:rPr>
          <w:b/>
          <w:color w:val="1B3A5C"/>
        </w:rPr>
        <w:t xml:space="preserve">Relevant Requirements: </w:t>
      </w:r>
      <w:r>
        <w:t>Client entertainment limit is ₹5,000/person. Needs VP pre-approval.</w:t>
      </w:r>
    </w:p>
    <w:p>
      <w:r>
        <w:rPr>
          <w:b/>
          <w:color w:val="1B3A5C"/>
        </w:rPr>
        <w:t xml:space="preserve">Expected Process: </w:t>
      </w:r>
      <w:r>
        <w:t>Submit via SAP Concur with VP email approval attached.</w:t>
      </w:r>
    </w:p>
    <w:p>
      <w:r>
        <w:rPr>
          <w:b/>
          <w:color w:val="1B3A5C"/>
        </w:rPr>
        <w:t xml:space="preserve">Outcome: </w:t>
      </w:r>
      <w:r>
        <w:t>Reimbursed within 15 days.</w:t>
      </w:r>
    </w:p>
    <w:p/>
    <w:p>
      <w:pPr>
        <w:pStyle w:val="Heading3"/>
      </w:pPr>
      <w:r>
        <w:t>Scenario 4: Client Dinner</w:t>
      </w:r>
    </w:p>
    <w:p>
      <w:r>
        <w:rPr>
          <w:b/>
          <w:color w:val="1B3A5C"/>
        </w:rPr>
        <w:t xml:space="preserve">Situation: </w:t>
      </w:r>
      <w:r>
        <w:t>Taking a key client to dinner in Bengaluru.</w:t>
      </w:r>
    </w:p>
    <w:p>
      <w:r>
        <w:rPr>
          <w:b/>
          <w:color w:val="1B3A5C"/>
        </w:rPr>
        <w:t xml:space="preserve">Relevant Requirements: </w:t>
      </w:r>
      <w:r>
        <w:t>Client entertainment limit is ₹5,000/person. Needs VP pre-approval.</w:t>
      </w:r>
    </w:p>
    <w:p>
      <w:r>
        <w:rPr>
          <w:b/>
          <w:color w:val="1B3A5C"/>
        </w:rPr>
        <w:t xml:space="preserve">Expected Process: </w:t>
      </w:r>
      <w:r>
        <w:t>Submit via SAP Concur with VP email approval attached.</w:t>
      </w:r>
    </w:p>
    <w:p>
      <w:r>
        <w:rPr>
          <w:b/>
          <w:color w:val="1B3A5C"/>
        </w:rPr>
        <w:t xml:space="preserve">Outcome: </w:t>
      </w:r>
      <w:r>
        <w:t>Reimbursed within 15 days.</w:t>
      </w:r>
    </w:p>
    <w:p/>
    <w:p>
      <w:pPr>
        <w:pStyle w:val="Heading3"/>
      </w:pPr>
      <w:r>
        <w:t>Scenario 5: Client Dinner</w:t>
      </w:r>
    </w:p>
    <w:p>
      <w:r>
        <w:rPr>
          <w:b/>
          <w:color w:val="1B3A5C"/>
        </w:rPr>
        <w:t xml:space="preserve">Situation: </w:t>
      </w:r>
      <w:r>
        <w:t>Taking a key client to dinner in Bengaluru.</w:t>
      </w:r>
    </w:p>
    <w:p>
      <w:r>
        <w:rPr>
          <w:b/>
          <w:color w:val="1B3A5C"/>
        </w:rPr>
        <w:t xml:space="preserve">Relevant Requirements: </w:t>
      </w:r>
      <w:r>
        <w:t>Client entertainment limit is ₹5,000/person. Needs VP pre-approval.</w:t>
      </w:r>
    </w:p>
    <w:p>
      <w:r>
        <w:rPr>
          <w:b/>
          <w:color w:val="1B3A5C"/>
        </w:rPr>
        <w:t xml:space="preserve">Expected Process: </w:t>
      </w:r>
      <w:r>
        <w:t>Submit via SAP Concur with VP email approval attached.</w:t>
      </w:r>
    </w:p>
    <w:p>
      <w:r>
        <w:rPr>
          <w:b/>
          <w:color w:val="1B3A5C"/>
        </w:rPr>
        <w:t xml:space="preserve">Outcome: </w:t>
      </w:r>
      <w:r>
        <w:t>Reimbursed within 15 days.</w:t>
      </w:r>
    </w:p>
    <w:p/>
    <w:p>
      <w:pPr>
        <w:pStyle w:val="Heading1"/>
      </w:pPr>
      <w:r>
        <w:t>Revision History</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1152"/>
            <w:shd w:fill="1B3A5C" w:val="clear"/>
          </w:tcPr>
          <w:p>
            <w:pPr>
              <w:jc w:val="center"/>
            </w:pPr>
            <w:r>
              <w:rPr>
                <w:rFonts w:ascii="Calibri" w:hAnsi="Calibri"/>
                <w:b/>
                <w:color w:val="FFFFFF"/>
                <w:sz w:val="20"/>
              </w:rPr>
              <w:t>Version</w:t>
            </w:r>
          </w:p>
        </w:tc>
        <w:tc>
          <w:tcPr>
            <w:tcW w:type="dxa" w:w="1872"/>
            <w:shd w:fill="1B3A5C" w:val="clear"/>
          </w:tcPr>
          <w:p>
            <w:pPr>
              <w:jc w:val="center"/>
            </w:pPr>
            <w:r>
              <w:rPr>
                <w:rFonts w:ascii="Calibri" w:hAnsi="Calibri"/>
                <w:b/>
                <w:color w:val="FFFFFF"/>
                <w:sz w:val="20"/>
              </w:rPr>
              <w:t>Effective Date</w:t>
            </w:r>
          </w:p>
        </w:tc>
        <w:tc>
          <w:tcPr>
            <w:tcW w:type="dxa" w:w="2160"/>
            <w:shd w:fill="1B3A5C" w:val="clear"/>
          </w:tcPr>
          <w:p>
            <w:pPr>
              <w:jc w:val="center"/>
            </w:pPr>
            <w:r>
              <w:rPr>
                <w:rFonts w:ascii="Calibri" w:hAnsi="Calibri"/>
                <w:b/>
                <w:color w:val="FFFFFF"/>
                <w:sz w:val="20"/>
              </w:rPr>
              <w:t>Author / Function</w:t>
            </w:r>
          </w:p>
        </w:tc>
        <w:tc>
          <w:tcPr>
            <w:tcW w:type="dxa" w:w="4320"/>
            <w:shd w:fill="1B3A5C" w:val="clear"/>
          </w:tcPr>
          <w:p>
            <w:pPr>
              <w:jc w:val="center"/>
            </w:pPr>
            <w:r>
              <w:rPr>
                <w:rFonts w:ascii="Calibri" w:hAnsi="Calibri"/>
                <w:b/>
                <w:color w:val="FFFFFF"/>
                <w:sz w:val="20"/>
              </w:rPr>
              <w:t>Description</w:t>
            </w:r>
          </w:p>
        </w:tc>
      </w:tr>
      <w:tr>
        <w:tc>
          <w:tcPr>
            <w:tcW w:type="dxa" w:w="1152"/>
          </w:tcPr>
          <w:p>
            <w:r>
              <w:rPr>
                <w:rFonts w:ascii="Calibri" w:hAnsi="Calibri"/>
                <w:color w:val="333333"/>
                <w:sz w:val="18"/>
              </w:rPr>
              <w:t>2.1</w:t>
            </w:r>
          </w:p>
        </w:tc>
        <w:tc>
          <w:tcPr>
            <w:tcW w:type="dxa" w:w="1872"/>
          </w:tcPr>
          <w:p>
            <w:r>
              <w:rPr>
                <w:rFonts w:ascii="Calibri" w:hAnsi="Calibri"/>
                <w:color w:val="333333"/>
                <w:sz w:val="18"/>
              </w:rPr>
              <w:t>01 October 2025</w:t>
            </w:r>
          </w:p>
        </w:tc>
        <w:tc>
          <w:tcPr>
            <w:tcW w:type="dxa" w:w="2160"/>
          </w:tcPr>
          <w:p>
            <w:r>
              <w:rPr>
                <w:rFonts w:ascii="Calibri" w:hAnsi="Calibri"/>
                <w:color w:val="333333"/>
                <w:sz w:val="18"/>
              </w:rPr>
              <w:t>Finance Policy Team</w:t>
            </w:r>
          </w:p>
        </w:tc>
        <w:tc>
          <w:tcPr>
            <w:tcW w:type="dxa" w:w="4320"/>
          </w:tcPr>
          <w:p>
            <w:r>
              <w:rPr>
                <w:rFonts w:ascii="Calibri" w:hAnsi="Calibri"/>
                <w:color w:val="333333"/>
                <w:sz w:val="18"/>
              </w:rPr>
              <w:t>Updated per diem rates.</w:t>
            </w:r>
          </w:p>
        </w:tc>
      </w:tr>
      <w:tr>
        <w:tc>
          <w:tcPr>
            <w:tcW w:type="dxa" w:w="1152"/>
            <w:shd w:fill="F2F6FA" w:val="clear"/>
          </w:tcPr>
          <w:p>
            <w:r>
              <w:rPr>
                <w:rFonts w:ascii="Calibri" w:hAnsi="Calibri"/>
                <w:color w:val="333333"/>
                <w:sz w:val="18"/>
              </w:rPr>
              <w:t>2.2</w:t>
            </w:r>
          </w:p>
        </w:tc>
        <w:tc>
          <w:tcPr>
            <w:tcW w:type="dxa" w:w="1872"/>
            <w:shd w:fill="F2F6FA" w:val="clear"/>
          </w:tcPr>
          <w:p>
            <w:r>
              <w:rPr>
                <w:rFonts w:ascii="Calibri" w:hAnsi="Calibri"/>
                <w:color w:val="333333"/>
                <w:sz w:val="18"/>
              </w:rPr>
              <w:t>01 April 2026</w:t>
            </w:r>
          </w:p>
        </w:tc>
        <w:tc>
          <w:tcPr>
            <w:tcW w:type="dxa" w:w="2160"/>
            <w:shd w:fill="F2F6FA" w:val="clear"/>
          </w:tcPr>
          <w:p>
            <w:r>
              <w:rPr>
                <w:rFonts w:ascii="Calibri" w:hAnsi="Calibri"/>
                <w:color w:val="333333"/>
                <w:sz w:val="18"/>
              </w:rPr>
              <w:t>CFO</w:t>
            </w:r>
          </w:p>
        </w:tc>
        <w:tc>
          <w:tcPr>
            <w:tcW w:type="dxa" w:w="4320"/>
            <w:shd w:fill="F2F6FA" w:val="clear"/>
          </w:tcPr>
          <w:p>
            <w:r>
              <w:rPr>
                <w:rFonts w:ascii="Calibri" w:hAnsi="Calibri"/>
                <w:color w:val="333333"/>
                <w:sz w:val="18"/>
              </w:rPr>
              <w:t>Revised approval matrix and SAP Concur mandate.</w:t>
            </w:r>
          </w:p>
        </w:tc>
      </w:tr>
    </w:tbl>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666"/>
        <w:sz w:val="16"/>
      </w:rPr>
      <w:t>Vistara Global Systems — Internal — FIN-001</w:t>
    </w:r>
    <w:r>
      <w:rPr>
        <w:rFonts w:ascii="Calibri" w:hAnsi="Calibri"/>
        <w:color w:val="666666"/>
        <w:sz w:val="16"/>
      </w:rPr>
      <w:t xml:space="preserve">    |    Page </w:t>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1B3A5C"/>
      <w:sz w:val="36"/>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1B3A5C"/>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2E74B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