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Business Travel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FIN-002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Financial Officer (CFO)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FIN-002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Business Travel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Financial Officer (CFO)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traveling for Vistara Global Systems business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November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FIN-001, FIN-005, FIN-006, HR-005, SEC-007, SEC-010, DATA-004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 xml:space="preserve">The Business Travel Policy (FIN-002) outlines the guidelines, approvals, and limits for employees traveling on behalf of Vistara Global Systems. The company is committed to ensuring the safety, comfort, and productivity of its employees while maintaining cost-effectiveness. The Business Travel Policy (FIN-002) outlines the guidelines, approvals, and limits for employees traveling on behalf of Vistara Global Systems. The company is committed to ensuring the safety, comfort, and productivity of its employees while maintaining cost-effectiveness. The Business Travel Policy (FIN-002) outlines the guidelines, approvals, and limits for employees traveling on behalf of Vistara Global Systems. The company is committed to ensuring the safety, comfort, and productivity of its employees while maintaining cost-effectiveness. The Business Travel Policy (FIN-002) outlines the guidelines, approvals, and limits for employees traveling on behalf of Vistara Global Systems. The company is committed to ensuring the safety, comfort, and productivity of its employees while maintaining cost-effectiveness. The Business Travel Policy (FIN-002) outlines the guidelines, approvals, and limits for employees traveling on behalf of Vistara Global Systems. The company is committed to ensuring the safety, comfort, and productivity of its employees while maintaining cost-effectiveness. </w:t>
      </w:r>
    </w:p>
    <w:p>
      <w:pPr>
        <w:pStyle w:val="Heading1"/>
      </w:pPr>
      <w:r>
        <w:t>2. Travel Approval Matrix</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Travel Type</w:t>
            </w:r>
          </w:p>
        </w:tc>
        <w:tc>
          <w:tcPr>
            <w:tcW w:type="dxa" w:w="3120"/>
            <w:shd w:fill="1B3A5C" w:val="clear"/>
          </w:tcPr>
          <w:p>
            <w:pPr>
              <w:jc w:val="center"/>
            </w:pPr>
            <w:r>
              <w:rPr>
                <w:rFonts w:ascii="Calibri" w:hAnsi="Calibri"/>
                <w:b/>
                <w:color w:val="FFFFFF"/>
                <w:sz w:val="20"/>
              </w:rPr>
              <w:t>Primary Approver</w:t>
            </w:r>
          </w:p>
        </w:tc>
        <w:tc>
          <w:tcPr>
            <w:tcW w:type="dxa" w:w="3120"/>
            <w:shd w:fill="1B3A5C" w:val="clear"/>
          </w:tcPr>
          <w:p>
            <w:pPr>
              <w:jc w:val="center"/>
            </w:pPr>
            <w:r>
              <w:rPr>
                <w:rFonts w:ascii="Calibri" w:hAnsi="Calibri"/>
                <w:b/>
                <w:color w:val="FFFFFF"/>
                <w:sz w:val="20"/>
              </w:rPr>
              <w:t>Secondary Approver</w:t>
            </w:r>
          </w:p>
        </w:tc>
      </w:tr>
      <w:tr>
        <w:tc>
          <w:tcPr>
            <w:tcW w:type="dxa" w:w="3120"/>
          </w:tcPr>
          <w:p>
            <w:r>
              <w:rPr>
                <w:rFonts w:ascii="Calibri" w:hAnsi="Calibri"/>
                <w:color w:val="333333"/>
                <w:sz w:val="18"/>
              </w:rPr>
              <w:t>Domestic Travel</w:t>
            </w:r>
          </w:p>
        </w:tc>
        <w:tc>
          <w:tcPr>
            <w:tcW w:type="dxa" w:w="3120"/>
          </w:tcPr>
          <w:p>
            <w:r>
              <w:rPr>
                <w:rFonts w:ascii="Calibri" w:hAnsi="Calibri"/>
                <w:color w:val="333333"/>
                <w:sz w:val="18"/>
              </w:rPr>
              <w:t>Direct Manager</w:t>
            </w:r>
          </w:p>
        </w:tc>
        <w:tc>
          <w:tcPr>
            <w:tcW w:type="dxa" w:w="3120"/>
          </w:tcPr>
          <w:p>
            <w:r>
              <w:rPr>
                <w:rFonts w:ascii="Calibri" w:hAnsi="Calibri"/>
                <w:color w:val="333333"/>
                <w:sz w:val="18"/>
              </w:rPr>
              <w:t>N/A</w:t>
            </w:r>
          </w:p>
        </w:tc>
      </w:tr>
      <w:tr>
        <w:tc>
          <w:tcPr>
            <w:tcW w:type="dxa" w:w="3120"/>
            <w:shd w:fill="F2F6FA" w:val="clear"/>
          </w:tcPr>
          <w:p>
            <w:r>
              <w:rPr>
                <w:rFonts w:ascii="Calibri" w:hAnsi="Calibri"/>
                <w:color w:val="333333"/>
                <w:sz w:val="18"/>
              </w:rPr>
              <w:t>International (Existing Location)</w:t>
            </w:r>
          </w:p>
        </w:tc>
        <w:tc>
          <w:tcPr>
            <w:tcW w:type="dxa" w:w="3120"/>
            <w:shd w:fill="F2F6FA" w:val="clear"/>
          </w:tcPr>
          <w:p>
            <w:r>
              <w:rPr>
                <w:rFonts w:ascii="Calibri" w:hAnsi="Calibri"/>
                <w:color w:val="333333"/>
                <w:sz w:val="18"/>
              </w:rPr>
              <w:t>VP</w:t>
            </w:r>
          </w:p>
        </w:tc>
        <w:tc>
          <w:tcPr>
            <w:tcW w:type="dxa" w:w="3120"/>
            <w:shd w:fill="F2F6FA" w:val="clear"/>
          </w:tcPr>
          <w:p>
            <w:r>
              <w:rPr>
                <w:rFonts w:ascii="Calibri" w:hAnsi="Calibri"/>
                <w:color w:val="333333"/>
                <w:sz w:val="18"/>
              </w:rPr>
              <w:t>Finance Controller</w:t>
            </w:r>
          </w:p>
        </w:tc>
      </w:tr>
      <w:tr>
        <w:tc>
          <w:tcPr>
            <w:tcW w:type="dxa" w:w="3120"/>
          </w:tcPr>
          <w:p>
            <w:r>
              <w:rPr>
                <w:rFonts w:ascii="Calibri" w:hAnsi="Calibri"/>
                <w:color w:val="333333"/>
                <w:sz w:val="18"/>
              </w:rPr>
              <w:t>International (New Country)</w:t>
            </w:r>
          </w:p>
        </w:tc>
        <w:tc>
          <w:tcPr>
            <w:tcW w:type="dxa" w:w="3120"/>
          </w:tcPr>
          <w:p>
            <w:r>
              <w:rPr>
                <w:rFonts w:ascii="Calibri" w:hAnsi="Calibri"/>
                <w:color w:val="333333"/>
                <w:sz w:val="18"/>
              </w:rPr>
              <w:t>VP</w:t>
            </w:r>
          </w:p>
        </w:tc>
        <w:tc>
          <w:tcPr>
            <w:tcW w:type="dxa" w:w="3120"/>
          </w:tcPr>
          <w:p>
            <w:r>
              <w:rPr>
                <w:rFonts w:ascii="Calibri" w:hAnsi="Calibri"/>
                <w:color w:val="333333"/>
                <w:sz w:val="18"/>
              </w:rPr>
              <w:t>CFO + HR + IT Security</w:t>
            </w:r>
          </w:p>
        </w:tc>
      </w:tr>
    </w:tbl>
    <w:p/>
    <w:p>
      <w:pPr>
        <w:pStyle w:val="Heading1"/>
      </w:pPr>
      <w:r>
        <w:t>3. Air Travel Guidelines</w:t>
      </w:r>
    </w:p>
    <w:p>
      <w:pPr/>
      <w:r>
        <w:t>All travel must be booked through the approved Corporate Travel Desk. Advance booking of at least 7 days is preferred for domestic travel, and 14 days for international travel.</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Flight Duration</w:t>
            </w:r>
          </w:p>
        </w:tc>
        <w:tc>
          <w:tcPr>
            <w:tcW w:type="dxa" w:w="3120"/>
            <w:shd w:fill="1B3A5C" w:val="clear"/>
          </w:tcPr>
          <w:p>
            <w:pPr>
              <w:jc w:val="center"/>
            </w:pPr>
            <w:r>
              <w:rPr>
                <w:rFonts w:ascii="Calibri" w:hAnsi="Calibri"/>
                <w:b/>
                <w:color w:val="FFFFFF"/>
                <w:sz w:val="20"/>
              </w:rPr>
              <w:t>Allowed Class</w:t>
            </w:r>
          </w:p>
        </w:tc>
        <w:tc>
          <w:tcPr>
            <w:tcW w:type="dxa" w:w="3120"/>
            <w:shd w:fill="1B3A5C" w:val="clear"/>
          </w:tcPr>
          <w:p>
            <w:pPr>
              <w:jc w:val="center"/>
            </w:pPr>
            <w:r>
              <w:rPr>
                <w:rFonts w:ascii="Calibri" w:hAnsi="Calibri"/>
                <w:b/>
                <w:color w:val="FFFFFF"/>
                <w:sz w:val="20"/>
              </w:rPr>
              <w:t>Exceptions / Approvals</w:t>
            </w:r>
          </w:p>
        </w:tc>
      </w:tr>
      <w:tr>
        <w:tc>
          <w:tcPr>
            <w:tcW w:type="dxa" w:w="3120"/>
          </w:tcPr>
          <w:p>
            <w:r>
              <w:rPr>
                <w:rFonts w:ascii="Calibri" w:hAnsi="Calibri"/>
                <w:color w:val="333333"/>
                <w:sz w:val="18"/>
              </w:rPr>
              <w:t>Domestic All</w:t>
            </w:r>
          </w:p>
        </w:tc>
        <w:tc>
          <w:tcPr>
            <w:tcW w:type="dxa" w:w="3120"/>
          </w:tcPr>
          <w:p>
            <w:r>
              <w:rPr>
                <w:rFonts w:ascii="Calibri" w:hAnsi="Calibri"/>
                <w:color w:val="333333"/>
                <w:sz w:val="18"/>
              </w:rPr>
              <w:t>Economy</w:t>
            </w:r>
          </w:p>
        </w:tc>
        <w:tc>
          <w:tcPr>
            <w:tcW w:type="dxa" w:w="3120"/>
          </w:tcPr>
          <w:p>
            <w:r>
              <w:rPr>
                <w:rFonts w:ascii="Calibri" w:hAnsi="Calibri"/>
                <w:color w:val="333333"/>
                <w:sz w:val="18"/>
              </w:rPr>
              <w:t>Business Class only for &gt;4 hr flights with VP approval</w:t>
            </w:r>
          </w:p>
        </w:tc>
      </w:tr>
      <w:tr>
        <w:tc>
          <w:tcPr>
            <w:tcW w:type="dxa" w:w="3120"/>
            <w:shd w:fill="F2F6FA" w:val="clear"/>
          </w:tcPr>
          <w:p>
            <w:r>
              <w:rPr>
                <w:rFonts w:ascii="Calibri" w:hAnsi="Calibri"/>
                <w:color w:val="333333"/>
                <w:sz w:val="18"/>
              </w:rPr>
              <w:t>International &lt; 6 hours</w:t>
            </w:r>
          </w:p>
        </w:tc>
        <w:tc>
          <w:tcPr>
            <w:tcW w:type="dxa" w:w="3120"/>
            <w:shd w:fill="F2F6FA" w:val="clear"/>
          </w:tcPr>
          <w:p>
            <w:r>
              <w:rPr>
                <w:rFonts w:ascii="Calibri" w:hAnsi="Calibri"/>
                <w:color w:val="333333"/>
                <w:sz w:val="18"/>
              </w:rPr>
              <w:t>Economy / Premium Economy</w:t>
            </w:r>
          </w:p>
        </w:tc>
        <w:tc>
          <w:tcPr>
            <w:tcW w:type="dxa" w:w="3120"/>
            <w:shd w:fill="F2F6FA" w:val="clear"/>
          </w:tcPr>
          <w:p>
            <w:r>
              <w:rPr>
                <w:rFonts w:ascii="Calibri" w:hAnsi="Calibri"/>
                <w:color w:val="333333"/>
                <w:sz w:val="18"/>
              </w:rPr>
              <w:t>N/A</w:t>
            </w:r>
          </w:p>
        </w:tc>
      </w:tr>
      <w:tr>
        <w:tc>
          <w:tcPr>
            <w:tcW w:type="dxa" w:w="3120"/>
          </w:tcPr>
          <w:p>
            <w:r>
              <w:rPr>
                <w:rFonts w:ascii="Calibri" w:hAnsi="Calibri"/>
                <w:color w:val="333333"/>
                <w:sz w:val="18"/>
              </w:rPr>
              <w:t>International &gt; 6 hours</w:t>
            </w:r>
          </w:p>
        </w:tc>
        <w:tc>
          <w:tcPr>
            <w:tcW w:type="dxa" w:w="3120"/>
          </w:tcPr>
          <w:p>
            <w:r>
              <w:rPr>
                <w:rFonts w:ascii="Calibri" w:hAnsi="Calibri"/>
                <w:color w:val="333333"/>
                <w:sz w:val="18"/>
              </w:rPr>
              <w:t>Premium Economy</w:t>
            </w:r>
          </w:p>
        </w:tc>
        <w:tc>
          <w:tcPr>
            <w:tcW w:type="dxa" w:w="3120"/>
          </w:tcPr>
          <w:p>
            <w:r>
              <w:rPr>
                <w:rFonts w:ascii="Calibri" w:hAnsi="Calibri"/>
                <w:color w:val="333333"/>
                <w:sz w:val="18"/>
              </w:rPr>
              <w:t>Business Class for VP+ or CFO approval</w:t>
            </w:r>
          </w:p>
        </w:tc>
      </w:tr>
      <w:tr>
        <w:tc>
          <w:tcPr>
            <w:tcW w:type="dxa" w:w="3120"/>
            <w:shd w:fill="F2F6FA" w:val="clear"/>
          </w:tcPr>
          <w:p>
            <w:r>
              <w:rPr>
                <w:rFonts w:ascii="Calibri" w:hAnsi="Calibri"/>
                <w:color w:val="333333"/>
                <w:sz w:val="18"/>
              </w:rPr>
              <w:t>First Class</w:t>
            </w:r>
          </w:p>
        </w:tc>
        <w:tc>
          <w:tcPr>
            <w:tcW w:type="dxa" w:w="3120"/>
            <w:shd w:fill="F2F6FA" w:val="clear"/>
          </w:tcPr>
          <w:p>
            <w:r>
              <w:rPr>
                <w:rFonts w:ascii="Calibri" w:hAnsi="Calibri"/>
                <w:color w:val="333333"/>
                <w:sz w:val="18"/>
              </w:rPr>
              <w:t>Not Permitted</w:t>
            </w:r>
          </w:p>
        </w:tc>
        <w:tc>
          <w:tcPr>
            <w:tcW w:type="dxa" w:w="3120"/>
            <w:shd w:fill="F2F6FA" w:val="clear"/>
          </w:tcPr>
          <w:p>
            <w:r>
              <w:rPr>
                <w:rFonts w:ascii="Calibri" w:hAnsi="Calibri"/>
                <w:color w:val="333333"/>
                <w:sz w:val="18"/>
              </w:rPr>
              <w:t>CEO / Board members only</w:t>
            </w:r>
          </w:p>
        </w:tc>
      </w:tr>
    </w:tbl>
    <w:p/>
    <w:p>
      <w:pPr>
        <w:pStyle w:val="Heading1"/>
      </w:pPr>
      <w:r>
        <w:t>4. Accommodation Limits</w:t>
      </w:r>
    </w:p>
    <w:p>
      <w:pPr/>
      <w:r>
        <w:t>Employees must use approved hotels. Nightly rate caps are strictly enforced: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City / Tier</w:t>
            </w:r>
          </w:p>
        </w:tc>
        <w:tc>
          <w:tcPr>
            <w:tcW w:type="dxa" w:w="3120"/>
            <w:shd w:fill="1B3A5C" w:val="clear"/>
          </w:tcPr>
          <w:p>
            <w:pPr>
              <w:jc w:val="center"/>
            </w:pPr>
            <w:r>
              <w:rPr>
                <w:rFonts w:ascii="Calibri" w:hAnsi="Calibri"/>
                <w:b/>
                <w:color w:val="FFFFFF"/>
                <w:sz w:val="20"/>
              </w:rPr>
              <w:t>Rate Cap (Per Night)</w:t>
            </w:r>
          </w:p>
        </w:tc>
        <w:tc>
          <w:tcPr>
            <w:tcW w:type="dxa" w:w="3120"/>
            <w:shd w:fill="1B3A5C" w:val="clear"/>
          </w:tcPr>
          <w:p>
            <w:pPr>
              <w:jc w:val="center"/>
            </w:pPr>
            <w:r>
              <w:rPr>
                <w:rFonts w:ascii="Calibri" w:hAnsi="Calibri"/>
                <w:b/>
                <w:color w:val="FFFFFF"/>
                <w:sz w:val="20"/>
              </w:rPr>
              <w:t>Currency</w:t>
            </w:r>
          </w:p>
        </w:tc>
      </w:tr>
      <w:tr>
        <w:tc>
          <w:tcPr>
            <w:tcW w:type="dxa" w:w="3120"/>
          </w:tcPr>
          <w:p>
            <w:r>
              <w:rPr>
                <w:rFonts w:ascii="Calibri" w:hAnsi="Calibri"/>
                <w:color w:val="333333"/>
                <w:sz w:val="18"/>
              </w:rPr>
              <w:t>Domestic Tier 1 (BLR, BOM, DEL)</w:t>
            </w:r>
          </w:p>
        </w:tc>
        <w:tc>
          <w:tcPr>
            <w:tcW w:type="dxa" w:w="3120"/>
          </w:tcPr>
          <w:p>
            <w:r>
              <w:rPr>
                <w:rFonts w:ascii="Calibri" w:hAnsi="Calibri"/>
                <w:color w:val="333333"/>
                <w:sz w:val="18"/>
              </w:rPr>
              <w:t>₹12,000</w:t>
            </w:r>
          </w:p>
        </w:tc>
        <w:tc>
          <w:tcPr>
            <w:tcW w:type="dxa" w:w="3120"/>
          </w:tcPr>
          <w:p>
            <w:r>
              <w:rPr>
                <w:rFonts w:ascii="Calibri" w:hAnsi="Calibri"/>
                <w:color w:val="333333"/>
                <w:sz w:val="18"/>
              </w:rPr>
              <w:t>INR</w:t>
            </w:r>
          </w:p>
        </w:tc>
      </w:tr>
      <w:tr>
        <w:tc>
          <w:tcPr>
            <w:tcW w:type="dxa" w:w="3120"/>
            <w:shd w:fill="F2F6FA" w:val="clear"/>
          </w:tcPr>
          <w:p>
            <w:r>
              <w:rPr>
                <w:rFonts w:ascii="Calibri" w:hAnsi="Calibri"/>
                <w:color w:val="333333"/>
                <w:sz w:val="18"/>
              </w:rPr>
              <w:t>Domestic Tier 2</w:t>
            </w:r>
          </w:p>
        </w:tc>
        <w:tc>
          <w:tcPr>
            <w:tcW w:type="dxa" w:w="3120"/>
            <w:shd w:fill="F2F6FA" w:val="clear"/>
          </w:tcPr>
          <w:p>
            <w:r>
              <w:rPr>
                <w:rFonts w:ascii="Calibri" w:hAnsi="Calibri"/>
                <w:color w:val="333333"/>
                <w:sz w:val="18"/>
              </w:rPr>
              <w:t>₹6,000 - ₹9,000</w:t>
            </w:r>
          </w:p>
        </w:tc>
        <w:tc>
          <w:tcPr>
            <w:tcW w:type="dxa" w:w="3120"/>
            <w:shd w:fill="F2F6FA" w:val="clear"/>
          </w:tcPr>
          <w:p>
            <w:r>
              <w:rPr>
                <w:rFonts w:ascii="Calibri" w:hAnsi="Calibri"/>
                <w:color w:val="333333"/>
                <w:sz w:val="18"/>
              </w:rPr>
              <w:t>INR</w:t>
            </w:r>
          </w:p>
        </w:tc>
      </w:tr>
      <w:tr>
        <w:tc>
          <w:tcPr>
            <w:tcW w:type="dxa" w:w="3120"/>
          </w:tcPr>
          <w:p>
            <w:r>
              <w:rPr>
                <w:rFonts w:ascii="Calibri" w:hAnsi="Calibri"/>
                <w:color w:val="333333"/>
                <w:sz w:val="18"/>
              </w:rPr>
              <w:t>London</w:t>
            </w:r>
          </w:p>
        </w:tc>
        <w:tc>
          <w:tcPr>
            <w:tcW w:type="dxa" w:w="3120"/>
          </w:tcPr>
          <w:p>
            <w:r>
              <w:rPr>
                <w:rFonts w:ascii="Calibri" w:hAnsi="Calibri"/>
                <w:color w:val="333333"/>
                <w:sz w:val="18"/>
              </w:rPr>
              <w:t>£200</w:t>
            </w:r>
          </w:p>
        </w:tc>
        <w:tc>
          <w:tcPr>
            <w:tcW w:type="dxa" w:w="3120"/>
          </w:tcPr>
          <w:p>
            <w:r>
              <w:rPr>
                <w:rFonts w:ascii="Calibri" w:hAnsi="Calibri"/>
                <w:color w:val="333333"/>
                <w:sz w:val="18"/>
              </w:rPr>
              <w:t>GBP</w:t>
            </w:r>
          </w:p>
        </w:tc>
      </w:tr>
      <w:tr>
        <w:tc>
          <w:tcPr>
            <w:tcW w:type="dxa" w:w="3120"/>
            <w:shd w:fill="F2F6FA" w:val="clear"/>
          </w:tcPr>
          <w:p>
            <w:r>
              <w:rPr>
                <w:rFonts w:ascii="Calibri" w:hAnsi="Calibri"/>
                <w:color w:val="333333"/>
                <w:sz w:val="18"/>
              </w:rPr>
              <w:t>Singapore</w:t>
            </w:r>
          </w:p>
        </w:tc>
        <w:tc>
          <w:tcPr>
            <w:tcW w:type="dxa" w:w="3120"/>
            <w:shd w:fill="F2F6FA" w:val="clear"/>
          </w:tcPr>
          <w:p>
            <w:r>
              <w:rPr>
                <w:rFonts w:ascii="Calibri" w:hAnsi="Calibri"/>
                <w:color w:val="333333"/>
                <w:sz w:val="18"/>
              </w:rPr>
              <w:t>SGD 300</w:t>
            </w:r>
          </w:p>
        </w:tc>
        <w:tc>
          <w:tcPr>
            <w:tcW w:type="dxa" w:w="3120"/>
            <w:shd w:fill="F2F6FA" w:val="clear"/>
          </w:tcPr>
          <w:p>
            <w:r>
              <w:rPr>
                <w:rFonts w:ascii="Calibri" w:hAnsi="Calibri"/>
                <w:color w:val="333333"/>
                <w:sz w:val="18"/>
              </w:rPr>
              <w:t>SGD</w:t>
            </w:r>
          </w:p>
        </w:tc>
      </w:tr>
      <w:tr>
        <w:tc>
          <w:tcPr>
            <w:tcW w:type="dxa" w:w="3120"/>
          </w:tcPr>
          <w:p>
            <w:r>
              <w:rPr>
                <w:rFonts w:ascii="Calibri" w:hAnsi="Calibri"/>
                <w:color w:val="333333"/>
                <w:sz w:val="18"/>
              </w:rPr>
              <w:t>Dubai</w:t>
            </w:r>
          </w:p>
        </w:tc>
        <w:tc>
          <w:tcPr>
            <w:tcW w:type="dxa" w:w="3120"/>
          </w:tcPr>
          <w:p>
            <w:r>
              <w:rPr>
                <w:rFonts w:ascii="Calibri" w:hAnsi="Calibri"/>
                <w:color w:val="333333"/>
                <w:sz w:val="18"/>
              </w:rPr>
              <w:t>AED 800</w:t>
            </w:r>
          </w:p>
        </w:tc>
        <w:tc>
          <w:tcPr>
            <w:tcW w:type="dxa" w:w="3120"/>
          </w:tcPr>
          <w:p>
            <w:r>
              <w:rPr>
                <w:rFonts w:ascii="Calibri" w:hAnsi="Calibri"/>
                <w:color w:val="333333"/>
                <w:sz w:val="18"/>
              </w:rPr>
              <w:t>AED</w:t>
            </w:r>
          </w:p>
        </w:tc>
      </w:tr>
      <w:tr>
        <w:tc>
          <w:tcPr>
            <w:tcW w:type="dxa" w:w="3120"/>
            <w:shd w:fill="F2F6FA" w:val="clear"/>
          </w:tcPr>
          <w:p>
            <w:r>
              <w:rPr>
                <w:rFonts w:ascii="Calibri" w:hAnsi="Calibri"/>
                <w:color w:val="333333"/>
                <w:sz w:val="18"/>
              </w:rPr>
              <w:t>Austin</w:t>
            </w:r>
          </w:p>
        </w:tc>
        <w:tc>
          <w:tcPr>
            <w:tcW w:type="dxa" w:w="3120"/>
            <w:shd w:fill="F2F6FA" w:val="clear"/>
          </w:tcPr>
          <w:p>
            <w:r>
              <w:rPr>
                <w:rFonts w:ascii="Calibri" w:hAnsi="Calibri"/>
                <w:color w:val="333333"/>
                <w:sz w:val="18"/>
              </w:rPr>
              <w:t>USD 200</w:t>
            </w:r>
          </w:p>
        </w:tc>
        <w:tc>
          <w:tcPr>
            <w:tcW w:type="dxa" w:w="3120"/>
            <w:shd w:fill="F2F6FA" w:val="clear"/>
          </w:tcPr>
          <w:p>
            <w:r>
              <w:rPr>
                <w:rFonts w:ascii="Calibri" w:hAnsi="Calibri"/>
                <w:color w:val="333333"/>
                <w:sz w:val="18"/>
              </w:rPr>
              <w:t>USD</w:t>
            </w:r>
          </w:p>
        </w:tc>
      </w:tr>
    </w:tbl>
    <w:p/>
    <w:p>
      <w:pPr>
        <w:pStyle w:val="Heading1"/>
      </w:pPr>
      <w:r>
        <w:t>5. Security and Data Compliance</w:t>
      </w:r>
    </w:p>
    <w:p>
      <w:pPr/>
      <w:r>
        <w:t xml:space="preserve">Employees traveling with company devices must comply with SEC-007 and SEC-010. International travel requires strict adherence to DATA-004 regarding cross-border data transfer. Use of public Wi-Fi is strictly prohibited without the company VPN. Employees traveling with company devices must comply with SEC-007 and SEC-010. International travel requires strict adherence to DATA-004 regarding cross-border data transfer. Use of public Wi-Fi is strictly prohibited without the company VPN. Employees traveling with company devices must comply with SEC-007 and SEC-010. International travel requires strict adherence to DATA-004 regarding cross-border data transfer. Use of public Wi-Fi is strictly prohibited without the company VPN. Employees traveling with company devices must comply with SEC-007 and SEC-010. International travel requires strict adherence to DATA-004 regarding cross-border data transfer. Use of public Wi-Fi is strictly prohibited without the company VPN. </w:t>
      </w:r>
    </w:p>
    <w:p>
      <w:pPr>
        <w:pStyle w:val="Heading1"/>
      </w:pPr>
      <w:r>
        <w:t>6. Frequently Asked Questions</w:t>
      </w:r>
    </w:p>
    <w:p>
      <w:r>
        <w:rPr>
          <w:rFonts w:ascii="Calibri" w:hAnsi="Calibri"/>
          <w:b/>
          <w:color w:val="1B3A5C"/>
          <w:sz w:val="22"/>
        </w:rPr>
        <w:t>Q: Can I upgrade my flight using personal frequent flyer miles (FAQ 1)?</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2)?</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3)?</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4)?</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5)?</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6)?</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7)?</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8)?</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9)?</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10)?</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11)?</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12)?</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13)?</w:t>
      </w:r>
    </w:p>
    <w:p>
      <w:pPr>
        <w:spacing w:after="240"/>
      </w:pPr>
      <w:r>
        <w:rPr>
          <w:rFonts w:ascii="Calibri" w:hAnsi="Calibri"/>
          <w:color w:val="333333"/>
          <w:sz w:val="22"/>
        </w:rPr>
        <w:t>A: Yes, provided there is no additional cost to the company and the base fare was booked as per policy.</w:t>
      </w:r>
    </w:p>
    <w:p>
      <w:r>
        <w:rPr>
          <w:rFonts w:ascii="Calibri" w:hAnsi="Calibri"/>
          <w:b/>
          <w:color w:val="1B3A5C"/>
          <w:sz w:val="22"/>
        </w:rPr>
        <w:t>Q: Can I upgrade my flight using personal frequent flyer miles (FAQ 14)?</w:t>
      </w:r>
    </w:p>
    <w:p>
      <w:pPr>
        <w:spacing w:after="240"/>
      </w:pPr>
      <w:r>
        <w:rPr>
          <w:rFonts w:ascii="Calibri" w:hAnsi="Calibri"/>
          <w:color w:val="333333"/>
          <w:sz w:val="22"/>
        </w:rPr>
        <w:t>A: Yes, provided there is no additional cost to the company and the base fare was booked as per policy.</w:t>
      </w:r>
    </w:p>
    <w:p>
      <w:pPr>
        <w:pStyle w:val="Heading3"/>
      </w:pPr>
      <w:r>
        <w:t>Scenario 1: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2: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3: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4: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5: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6: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7: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8: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3"/>
      </w:pPr>
      <w:r>
        <w:t>Scenario 9: Emergency Travel</w:t>
      </w:r>
    </w:p>
    <w:p>
      <w:r>
        <w:rPr>
          <w:b/>
          <w:color w:val="1B3A5C"/>
        </w:rPr>
        <w:t xml:space="preserve">Situation: </w:t>
      </w:r>
      <w:r>
        <w:t>Need to travel internationally tomorrow.</w:t>
      </w:r>
    </w:p>
    <w:p>
      <w:r>
        <w:rPr>
          <w:b/>
          <w:color w:val="1B3A5C"/>
        </w:rPr>
        <w:t xml:space="preserve">Relevant Requirements: </w:t>
      </w:r>
      <w:r>
        <w:t>Standard 14-day advance booking missed.</w:t>
      </w:r>
    </w:p>
    <w:p>
      <w:r>
        <w:rPr>
          <w:b/>
          <w:color w:val="1B3A5C"/>
        </w:rPr>
        <w:t xml:space="preserve">Expected Process: </w:t>
      </w:r>
      <w:r>
        <w:t>Requires immediate VP and Finance Controller escalation.</w:t>
      </w:r>
    </w:p>
    <w:p>
      <w:r>
        <w:rPr>
          <w:b/>
          <w:color w:val="1B3A5C"/>
        </w:rPr>
        <w:t xml:space="preserve">Outcome: </w:t>
      </w:r>
      <w:r>
        <w:t>Approval granted post justification.</w:t>
      </w:r>
    </w:p>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01 November 2025</w:t>
            </w:r>
          </w:p>
        </w:tc>
        <w:tc>
          <w:tcPr>
            <w:tcW w:type="dxa" w:w="2160"/>
          </w:tcPr>
          <w:p>
            <w:r>
              <w:rPr>
                <w:rFonts w:ascii="Calibri" w:hAnsi="Calibri"/>
                <w:color w:val="333333"/>
                <w:sz w:val="18"/>
              </w:rPr>
              <w:t>Travel Desk</w:t>
            </w:r>
          </w:p>
        </w:tc>
        <w:tc>
          <w:tcPr>
            <w:tcW w:type="dxa" w:w="4320"/>
          </w:tcPr>
          <w:p>
            <w:r>
              <w:rPr>
                <w:rFonts w:ascii="Calibri" w:hAnsi="Calibri"/>
                <w:color w:val="333333"/>
                <w:sz w:val="18"/>
              </w:rPr>
              <w:t>Updated hotel caps.</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May 2026</w:t>
            </w:r>
          </w:p>
        </w:tc>
        <w:tc>
          <w:tcPr>
            <w:tcW w:type="dxa" w:w="2160"/>
            <w:shd w:fill="F2F6FA" w:val="clear"/>
          </w:tcPr>
          <w:p>
            <w:r>
              <w:rPr>
                <w:rFonts w:ascii="Calibri" w:hAnsi="Calibri"/>
                <w:color w:val="333333"/>
                <w:sz w:val="18"/>
              </w:rPr>
              <w:t>CFO</w:t>
            </w:r>
          </w:p>
        </w:tc>
        <w:tc>
          <w:tcPr>
            <w:tcW w:type="dxa" w:w="4320"/>
            <w:shd w:fill="F2F6FA" w:val="clear"/>
          </w:tcPr>
          <w:p>
            <w:r>
              <w:rPr>
                <w:rFonts w:ascii="Calibri" w:hAnsi="Calibri"/>
                <w:color w:val="333333"/>
                <w:sz w:val="18"/>
              </w:rPr>
              <w:t>Complete overhaul of international travel class policy.</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FIN-002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