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Calibri" w:hAnsi="Calibri"/>
          <w:b/>
          <w:color w:val="1B3A5C"/>
          <w:sz w:val="56"/>
        </w:rPr>
        <w:t>VISTARA GLOBAL SYSTEMS</w:t>
      </w:r>
    </w:p>
    <w:p>
      <w:pPr>
        <w:jc w:val="center"/>
      </w:pPr>
      <w:r>
        <w:rPr>
          <w:rFonts w:ascii="Calibri" w:hAnsi="Calibri"/>
          <w:color w:val="666666"/>
          <w:sz w:val="28"/>
        </w:rPr>
        <w:t>Pvt. Ltd.</w:t>
      </w:r>
    </w:p>
    <w:p>
      <w:pPr>
        <w:jc w:val="center"/>
      </w:pPr>
      <w:r>
        <w:rPr>
          <w:color w:val="1B3A5C"/>
          <w:sz w:val="24"/>
        </w:rPr>
        <w:t>━━━━━━━━━━━━━━━━━━━━━━━━━━━━━━━━━━━━━━━━━━━━━━━━━━</w:t>
      </w:r>
    </w:p>
    <w:p/>
    <w:p>
      <w:pPr>
        <w:jc w:val="center"/>
      </w:pPr>
      <w:r>
        <w:rPr>
          <w:rFonts w:ascii="Calibri" w:hAnsi="Calibri"/>
          <w:b/>
          <w:color w:val="333333"/>
          <w:sz w:val="44"/>
        </w:rPr>
        <w:t>Procurement and Purchasing Policy</w:t>
      </w:r>
    </w:p>
    <w:p/>
    <w:tbl>
      <w:tblPr>
        <w:tblW w:type="auto" w:w="0"/>
        <w:jc w:val="center"/>
        <w:tblLook w:firstColumn="1" w:firstRow="1" w:lastColumn="0" w:lastRow="0" w:noHBand="0" w:noVBand="1" w:val="04A0"/>
      </w:tblPr>
      <w:tblGrid>
        <w:gridCol w:w="4680"/>
        <w:gridCol w:w="4680"/>
      </w:tblGrid>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Policy ID:</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FIN-003</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Version:</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2.1</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Status:</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Approved</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Classification:</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Internal</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Policy Owner:</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Chief Financial Officer (CFO)</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Approved By:</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Chief Executive Officer (CEO)</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Effective Date:</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01 March 2026</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Next Review Date:</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01 March 2027</w:t>
            </w:r>
          </w:p>
        </w:tc>
      </w:tr>
    </w:tbl>
    <w:p/>
    <w:p/>
    <w:p>
      <w:pPr>
        <w:jc w:val="center"/>
      </w:pPr>
      <w:r>
        <w:rPr>
          <w:rFonts w:ascii="Calibri" w:hAnsi="Calibri"/>
          <w:i/>
          <w:color w:val="999999"/>
          <w:sz w:val="18"/>
        </w:rPr>
        <w:t>Fictional enterprise policy document for demonstration and knowledge-assistant testing.</w:t>
      </w:r>
    </w:p>
    <w:p>
      <w:r>
        <w:br w:type="page"/>
      </w:r>
    </w:p>
    <w:p>
      <w:pPr>
        <w:pStyle w:val="Heading1"/>
      </w:pPr>
      <w:r>
        <w:t>Document Control</w:t>
      </w:r>
    </w:p>
    <w:tbl>
      <w:tblPr>
        <w:tblStyle w:val="TableGrid"/>
        <w:tblW w:type="auto" w:w="0"/>
        <w:jc w:val="left"/>
        <w:tblLook w:firstColumn="1" w:firstRow="1" w:lastColumn="0" w:lastRow="0" w:noHBand="0" w:noVBand="1" w:val="04A0"/>
      </w:tblPr>
      <w:tblGrid>
        <w:gridCol w:w="4680"/>
        <w:gridCol w:w="4680"/>
      </w:tblGrid>
      <w:tr>
        <w:tc>
          <w:tcPr>
            <w:tcW w:type="dxa" w:w="2880"/>
            <w:shd w:fill="E8EFF7" w:val="clear"/>
          </w:tcPr>
          <w:p>
            <w:r>
              <w:rPr>
                <w:rFonts w:ascii="Calibri" w:hAnsi="Calibri"/>
                <w:b/>
                <w:color w:val="1B3A5C"/>
                <w:sz w:val="20"/>
              </w:rPr>
              <w:t>Document ID</w:t>
            </w:r>
          </w:p>
        </w:tc>
        <w:tc>
          <w:tcPr>
            <w:tcW w:type="dxa" w:w="6480"/>
          </w:tcPr>
          <w:p>
            <w:r>
              <w:rPr>
                <w:rFonts w:ascii="Calibri" w:hAnsi="Calibri"/>
                <w:color w:val="333333"/>
                <w:sz w:val="20"/>
              </w:rPr>
              <w:t>FIN-003</w:t>
            </w:r>
          </w:p>
        </w:tc>
      </w:tr>
      <w:tr>
        <w:tc>
          <w:tcPr>
            <w:tcW w:type="dxa" w:w="2880"/>
            <w:shd w:fill="E8EFF7" w:val="clear"/>
          </w:tcPr>
          <w:p>
            <w:r>
              <w:rPr>
                <w:rFonts w:ascii="Calibri" w:hAnsi="Calibri"/>
                <w:b/>
                <w:color w:val="1B3A5C"/>
                <w:sz w:val="20"/>
              </w:rPr>
              <w:t>Policy Name</w:t>
            </w:r>
          </w:p>
        </w:tc>
        <w:tc>
          <w:tcPr>
            <w:tcW w:type="dxa" w:w="6480"/>
          </w:tcPr>
          <w:p>
            <w:r>
              <w:rPr>
                <w:rFonts w:ascii="Calibri" w:hAnsi="Calibri"/>
                <w:color w:val="333333"/>
                <w:sz w:val="20"/>
              </w:rPr>
              <w:t>Procurement and Purchasing Policy</w:t>
            </w:r>
          </w:p>
        </w:tc>
      </w:tr>
      <w:tr>
        <w:tc>
          <w:tcPr>
            <w:tcW w:type="dxa" w:w="2880"/>
            <w:shd w:fill="E8EFF7" w:val="clear"/>
          </w:tcPr>
          <w:p>
            <w:r>
              <w:rPr>
                <w:rFonts w:ascii="Calibri" w:hAnsi="Calibri"/>
                <w:b/>
                <w:color w:val="1B3A5C"/>
                <w:sz w:val="20"/>
              </w:rPr>
              <w:t>Version</w:t>
            </w:r>
          </w:p>
        </w:tc>
        <w:tc>
          <w:tcPr>
            <w:tcW w:type="dxa" w:w="6480"/>
          </w:tcPr>
          <w:p>
            <w:r>
              <w:rPr>
                <w:rFonts w:ascii="Calibri" w:hAnsi="Calibri"/>
                <w:color w:val="333333"/>
                <w:sz w:val="20"/>
              </w:rPr>
              <w:t>2.1</w:t>
            </w:r>
          </w:p>
        </w:tc>
      </w:tr>
      <w:tr>
        <w:tc>
          <w:tcPr>
            <w:tcW w:type="dxa" w:w="2880"/>
            <w:shd w:fill="E8EFF7" w:val="clear"/>
          </w:tcPr>
          <w:p>
            <w:r>
              <w:rPr>
                <w:rFonts w:ascii="Calibri" w:hAnsi="Calibri"/>
                <w:b/>
                <w:color w:val="1B3A5C"/>
                <w:sz w:val="20"/>
              </w:rPr>
              <w:t>Status</w:t>
            </w:r>
          </w:p>
        </w:tc>
        <w:tc>
          <w:tcPr>
            <w:tcW w:type="dxa" w:w="6480"/>
          </w:tcPr>
          <w:p>
            <w:r>
              <w:rPr>
                <w:rFonts w:ascii="Calibri" w:hAnsi="Calibri"/>
                <w:color w:val="333333"/>
                <w:sz w:val="20"/>
              </w:rPr>
              <w:t>Approved</w:t>
            </w:r>
          </w:p>
        </w:tc>
      </w:tr>
      <w:tr>
        <w:tc>
          <w:tcPr>
            <w:tcW w:type="dxa" w:w="2880"/>
            <w:shd w:fill="E8EFF7" w:val="clear"/>
          </w:tcPr>
          <w:p>
            <w:r>
              <w:rPr>
                <w:rFonts w:ascii="Calibri" w:hAnsi="Calibri"/>
                <w:b/>
                <w:color w:val="1B3A5C"/>
                <w:sz w:val="20"/>
              </w:rPr>
              <w:t>Classification</w:t>
            </w:r>
          </w:p>
        </w:tc>
        <w:tc>
          <w:tcPr>
            <w:tcW w:type="dxa" w:w="6480"/>
          </w:tcPr>
          <w:p>
            <w:r>
              <w:rPr>
                <w:rFonts w:ascii="Calibri" w:hAnsi="Calibri"/>
                <w:color w:val="333333"/>
                <w:sz w:val="20"/>
              </w:rPr>
              <w:t>Internal</w:t>
            </w:r>
          </w:p>
        </w:tc>
      </w:tr>
      <w:tr>
        <w:tc>
          <w:tcPr>
            <w:tcW w:type="dxa" w:w="2880"/>
            <w:shd w:fill="E8EFF7" w:val="clear"/>
          </w:tcPr>
          <w:p>
            <w:r>
              <w:rPr>
                <w:rFonts w:ascii="Calibri" w:hAnsi="Calibri"/>
                <w:b/>
                <w:color w:val="1B3A5C"/>
                <w:sz w:val="20"/>
              </w:rPr>
              <w:t>Policy Owner</w:t>
            </w:r>
          </w:p>
        </w:tc>
        <w:tc>
          <w:tcPr>
            <w:tcW w:type="dxa" w:w="6480"/>
          </w:tcPr>
          <w:p>
            <w:r>
              <w:rPr>
                <w:rFonts w:ascii="Calibri" w:hAnsi="Calibri"/>
                <w:color w:val="333333"/>
                <w:sz w:val="20"/>
              </w:rPr>
              <w:t>Chief Financial Officer (CFO)</w:t>
            </w:r>
          </w:p>
        </w:tc>
      </w:tr>
      <w:tr>
        <w:tc>
          <w:tcPr>
            <w:tcW w:type="dxa" w:w="2880"/>
            <w:shd w:fill="E8EFF7" w:val="clear"/>
          </w:tcPr>
          <w:p>
            <w:r>
              <w:rPr>
                <w:rFonts w:ascii="Calibri" w:hAnsi="Calibri"/>
                <w:b/>
                <w:color w:val="1B3A5C"/>
                <w:sz w:val="20"/>
              </w:rPr>
              <w:t>Approved By</w:t>
            </w:r>
          </w:p>
        </w:tc>
        <w:tc>
          <w:tcPr>
            <w:tcW w:type="dxa" w:w="6480"/>
          </w:tcPr>
          <w:p>
            <w:r>
              <w:rPr>
                <w:rFonts w:ascii="Calibri" w:hAnsi="Calibri"/>
                <w:color w:val="333333"/>
                <w:sz w:val="20"/>
              </w:rPr>
              <w:t>Chief Executive Officer (CEO)</w:t>
            </w:r>
          </w:p>
        </w:tc>
      </w:tr>
      <w:tr>
        <w:tc>
          <w:tcPr>
            <w:tcW w:type="dxa" w:w="2880"/>
            <w:shd w:fill="E8EFF7" w:val="clear"/>
          </w:tcPr>
          <w:p>
            <w:r>
              <w:rPr>
                <w:rFonts w:ascii="Calibri" w:hAnsi="Calibri"/>
                <w:b/>
                <w:color w:val="1B3A5C"/>
                <w:sz w:val="20"/>
              </w:rPr>
              <w:t>Effective Date</w:t>
            </w:r>
          </w:p>
        </w:tc>
        <w:tc>
          <w:tcPr>
            <w:tcW w:type="dxa" w:w="6480"/>
          </w:tcPr>
          <w:p>
            <w:r>
              <w:rPr>
                <w:rFonts w:ascii="Calibri" w:hAnsi="Calibri"/>
                <w:color w:val="333333"/>
                <w:sz w:val="20"/>
              </w:rPr>
              <w:t>01 March 2026</w:t>
            </w:r>
          </w:p>
        </w:tc>
      </w:tr>
      <w:tr>
        <w:tc>
          <w:tcPr>
            <w:tcW w:type="dxa" w:w="2880"/>
            <w:shd w:fill="E8EFF7" w:val="clear"/>
          </w:tcPr>
          <w:p>
            <w:r>
              <w:rPr>
                <w:rFonts w:ascii="Calibri" w:hAnsi="Calibri"/>
                <w:b/>
                <w:color w:val="1B3A5C"/>
                <w:sz w:val="20"/>
              </w:rPr>
              <w:t>Next Review Date</w:t>
            </w:r>
          </w:p>
        </w:tc>
        <w:tc>
          <w:tcPr>
            <w:tcW w:type="dxa" w:w="6480"/>
          </w:tcPr>
          <w:p>
            <w:r>
              <w:rPr>
                <w:rFonts w:ascii="Calibri" w:hAnsi="Calibri"/>
                <w:color w:val="333333"/>
                <w:sz w:val="20"/>
              </w:rPr>
              <w:t>01 March 2027</w:t>
            </w:r>
          </w:p>
        </w:tc>
      </w:tr>
      <w:tr>
        <w:tc>
          <w:tcPr>
            <w:tcW w:type="dxa" w:w="2880"/>
            <w:shd w:fill="E8EFF7" w:val="clear"/>
          </w:tcPr>
          <w:p>
            <w:r>
              <w:rPr>
                <w:rFonts w:ascii="Calibri" w:hAnsi="Calibri"/>
                <w:b/>
                <w:color w:val="1B3A5C"/>
                <w:sz w:val="20"/>
              </w:rPr>
              <w:t>Review Frequency</w:t>
            </w:r>
          </w:p>
        </w:tc>
        <w:tc>
          <w:tcPr>
            <w:tcW w:type="dxa" w:w="6480"/>
          </w:tcPr>
          <w:p>
            <w:r>
              <w:rPr>
                <w:rFonts w:ascii="Calibri" w:hAnsi="Calibri"/>
                <w:color w:val="333333"/>
                <w:sz w:val="20"/>
              </w:rPr>
              <w:t>Annual</w:t>
            </w:r>
          </w:p>
        </w:tc>
      </w:tr>
      <w:tr>
        <w:tc>
          <w:tcPr>
            <w:tcW w:type="dxa" w:w="2880"/>
            <w:shd w:fill="E8EFF7" w:val="clear"/>
          </w:tcPr>
          <w:p>
            <w:r>
              <w:rPr>
                <w:rFonts w:ascii="Calibri" w:hAnsi="Calibri"/>
                <w:b/>
                <w:color w:val="1B3A5C"/>
                <w:sz w:val="20"/>
              </w:rPr>
              <w:t>Applicable Employees</w:t>
            </w:r>
          </w:p>
        </w:tc>
        <w:tc>
          <w:tcPr>
            <w:tcW w:type="dxa" w:w="6480"/>
          </w:tcPr>
          <w:p>
            <w:r>
              <w:rPr>
                <w:rFonts w:ascii="Calibri" w:hAnsi="Calibri"/>
                <w:color w:val="333333"/>
                <w:sz w:val="20"/>
              </w:rPr>
              <w:t>All employees involved in procurement, purchasing, or vendor selection</w:t>
            </w:r>
          </w:p>
        </w:tc>
      </w:tr>
      <w:tr>
        <w:tc>
          <w:tcPr>
            <w:tcW w:type="dxa" w:w="2880"/>
            <w:shd w:fill="E8EFF7" w:val="clear"/>
          </w:tcPr>
          <w:p>
            <w:r>
              <w:rPr>
                <w:rFonts w:ascii="Calibri" w:hAnsi="Calibri"/>
                <w:b/>
                <w:color w:val="1B3A5C"/>
                <w:sz w:val="20"/>
              </w:rPr>
              <w:t>Supersedes</w:t>
            </w:r>
          </w:p>
        </w:tc>
        <w:tc>
          <w:tcPr>
            <w:tcW w:type="dxa" w:w="6480"/>
          </w:tcPr>
          <w:p>
            <w:r>
              <w:rPr>
                <w:rFonts w:ascii="Calibri" w:hAnsi="Calibri"/>
                <w:color w:val="333333"/>
                <w:sz w:val="20"/>
              </w:rPr>
              <w:t>Version 2.0 (01 September 2025)</w:t>
            </w:r>
          </w:p>
        </w:tc>
      </w:tr>
      <w:tr>
        <w:tc>
          <w:tcPr>
            <w:tcW w:type="dxa" w:w="2880"/>
            <w:shd w:fill="E8EFF7" w:val="clear"/>
          </w:tcPr>
          <w:p>
            <w:r>
              <w:rPr>
                <w:rFonts w:ascii="Calibri" w:hAnsi="Calibri"/>
                <w:b/>
                <w:color w:val="1B3A5C"/>
                <w:sz w:val="20"/>
              </w:rPr>
              <w:t>Related Policies</w:t>
            </w:r>
          </w:p>
        </w:tc>
        <w:tc>
          <w:tcPr>
            <w:tcW w:type="dxa" w:w="6480"/>
          </w:tcPr>
          <w:p>
            <w:r>
              <w:rPr>
                <w:rFonts w:ascii="Calibri" w:hAnsi="Calibri"/>
                <w:color w:val="333333"/>
                <w:sz w:val="20"/>
              </w:rPr>
              <w:t>FIN-001, FIN-004, FIN-005, FIN-006, FIN-007, SEC-012, LEGAL-001, LEGAL-002</w:t>
            </w:r>
          </w:p>
        </w:tc>
      </w:tr>
    </w:tbl>
    <w:p/>
    <w:p>
      <w:pPr>
        <w:pStyle w:val="Heading1"/>
      </w:pPr>
      <w:r>
        <w:t>Table of Contents</w:t>
      </w:r>
    </w:p>
    <w:p>
      <w:r>
        <w:rPr>
          <w:i/>
          <w:color w:val="666666"/>
          <w:sz w:val="18"/>
        </w:rPr>
        <w:t>[This Table of Contents is automatically generated when the document is opened in Microsoft Word. Right-click and select 'Update Field' to refresh.]</w:t>
      </w:r>
    </w:p>
    <w:p>
      <w:r>
        <w:fldChar w:fldCharType="begin"/>
      </w:r>
      <w:r>
        <w:instrText xml:space="preserve"> TOC \o "1-3" \h \z \u </w:instrText>
      </w:r>
      <w:r>
        <w:fldChar w:fldCharType="separate"/>
      </w:r>
      <w:r>
        <w:rPr>
          <w:color w:val="666666"/>
        </w:rPr>
        <w:t>(Update this field to see Table of Contents)</w:t>
      </w:r>
      <w:r>
        <w:fldChar w:fldCharType="end"/>
      </w:r>
    </w:p>
    <w:p>
      <w:r>
        <w:br w:type="page"/>
      </w:r>
    </w:p>
    <w:p>
      <w:pPr>
        <w:pStyle w:val="Heading1"/>
      </w:pPr>
      <w:r>
        <w:t>1. Principles of Procurement</w:t>
      </w:r>
    </w:p>
    <w:p>
      <w:pPr/>
      <w:r>
        <w:t xml:space="preserve">Vistara Global Systems is committed to fair, transparent, and competitive procurement practices. All purchasing activities must deliver value for money, adhere to ethical standards, and comply with all applicable legal and regulatory frameworks. Vistara Global Systems is committed to fair, transparent, and competitive procurement practices. All purchasing activities must deliver value for money, adhere to ethical standards, and comply with all applicable legal and regulatory frameworks. Vistara Global Systems is committed to fair, transparent, and competitive procurement practices. All purchasing activities must deliver value for money, adhere to ethical standards, and comply with all applicable legal and regulatory frameworks. Vistara Global Systems is committed to fair, transparent, and competitive procurement practices. All purchasing activities must deliver value for money, adhere to ethical standards, and comply with all applicable legal and regulatory frameworks. Vistara Global Systems is committed to fair, transparent, and competitive procurement practices. All purchasing activities must deliver value for money, adhere to ethical standards, and comply with all applicable legal and regulatory frameworks. </w:t>
      </w:r>
    </w:p>
    <w:p>
      <w:pPr>
        <w:pStyle w:val="Heading1"/>
      </w:pPr>
      <w:r>
        <w:t>2. Approval Matrix</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shd w:fill="1B3A5C" w:val="clear"/>
          </w:tcPr>
          <w:p>
            <w:pPr>
              <w:jc w:val="center"/>
            </w:pPr>
            <w:r>
              <w:rPr>
                <w:rFonts w:ascii="Calibri" w:hAnsi="Calibri"/>
                <w:b/>
                <w:color w:val="FFFFFF"/>
                <w:sz w:val="20"/>
              </w:rPr>
              <w:t>Spend Value (INR)</w:t>
            </w:r>
          </w:p>
        </w:tc>
        <w:tc>
          <w:tcPr>
            <w:tcW w:type="dxa" w:w="2340"/>
            <w:shd w:fill="1B3A5C" w:val="clear"/>
          </w:tcPr>
          <w:p>
            <w:pPr>
              <w:jc w:val="center"/>
            </w:pPr>
            <w:r>
              <w:rPr>
                <w:rFonts w:ascii="Calibri" w:hAnsi="Calibri"/>
                <w:b/>
                <w:color w:val="FFFFFF"/>
                <w:sz w:val="20"/>
              </w:rPr>
              <w:t>Approver 1</w:t>
            </w:r>
          </w:p>
        </w:tc>
        <w:tc>
          <w:tcPr>
            <w:tcW w:type="dxa" w:w="2340"/>
            <w:shd w:fill="1B3A5C" w:val="clear"/>
          </w:tcPr>
          <w:p>
            <w:pPr>
              <w:jc w:val="center"/>
            </w:pPr>
            <w:r>
              <w:rPr>
                <w:rFonts w:ascii="Calibri" w:hAnsi="Calibri"/>
                <w:b/>
                <w:color w:val="FFFFFF"/>
                <w:sz w:val="20"/>
              </w:rPr>
              <w:t>Approver 2</w:t>
            </w:r>
          </w:p>
        </w:tc>
        <w:tc>
          <w:tcPr>
            <w:tcW w:type="dxa" w:w="2340"/>
            <w:shd w:fill="1B3A5C" w:val="clear"/>
          </w:tcPr>
          <w:p>
            <w:pPr>
              <w:jc w:val="center"/>
            </w:pPr>
            <w:r>
              <w:rPr>
                <w:rFonts w:ascii="Calibri" w:hAnsi="Calibri"/>
                <w:b/>
                <w:color w:val="FFFFFF"/>
                <w:sz w:val="20"/>
              </w:rPr>
              <w:t>Approver 3</w:t>
            </w:r>
          </w:p>
        </w:tc>
      </w:tr>
      <w:tr>
        <w:tc>
          <w:tcPr>
            <w:tcW w:type="dxa" w:w="2340"/>
          </w:tcPr>
          <w:p>
            <w:r>
              <w:rPr>
                <w:rFonts w:ascii="Calibri" w:hAnsi="Calibri"/>
                <w:color w:val="333333"/>
                <w:sz w:val="18"/>
              </w:rPr>
              <w:t>Up to ₹25,000</w:t>
            </w:r>
          </w:p>
        </w:tc>
        <w:tc>
          <w:tcPr>
            <w:tcW w:type="dxa" w:w="2340"/>
          </w:tcPr>
          <w:p>
            <w:r>
              <w:rPr>
                <w:rFonts w:ascii="Calibri" w:hAnsi="Calibri"/>
                <w:color w:val="333333"/>
                <w:sz w:val="18"/>
              </w:rPr>
              <w:t>Employee's Manager</w:t>
            </w:r>
          </w:p>
        </w:tc>
        <w:tc>
          <w:tcPr>
            <w:tcW w:type="dxa" w:w="2340"/>
          </w:tcPr>
          <w:p>
            <w:r>
              <w:rPr>
                <w:rFonts w:ascii="Calibri" w:hAnsi="Calibri"/>
                <w:color w:val="333333"/>
                <w:sz w:val="18"/>
              </w:rPr>
              <w:t>-</w:t>
            </w:r>
          </w:p>
        </w:tc>
        <w:tc>
          <w:tcPr>
            <w:tcW w:type="dxa" w:w="2340"/>
          </w:tcPr>
          <w:p>
            <w:r>
              <w:rPr>
                <w:rFonts w:ascii="Calibri" w:hAnsi="Calibri"/>
                <w:color w:val="333333"/>
                <w:sz w:val="18"/>
              </w:rPr>
              <w:t>-</w:t>
            </w:r>
          </w:p>
        </w:tc>
      </w:tr>
      <w:tr>
        <w:tc>
          <w:tcPr>
            <w:tcW w:type="dxa" w:w="2340"/>
            <w:shd w:fill="F2F6FA" w:val="clear"/>
          </w:tcPr>
          <w:p>
            <w:r>
              <w:rPr>
                <w:rFonts w:ascii="Calibri" w:hAnsi="Calibri"/>
                <w:color w:val="333333"/>
                <w:sz w:val="18"/>
              </w:rPr>
              <w:t>₹25,001 - ₹2,00,000</w:t>
            </w:r>
          </w:p>
        </w:tc>
        <w:tc>
          <w:tcPr>
            <w:tcW w:type="dxa" w:w="2340"/>
            <w:shd w:fill="F2F6FA" w:val="clear"/>
          </w:tcPr>
          <w:p>
            <w:r>
              <w:rPr>
                <w:rFonts w:ascii="Calibri" w:hAnsi="Calibri"/>
                <w:color w:val="333333"/>
                <w:sz w:val="18"/>
              </w:rPr>
              <w:t>Department Head</w:t>
            </w:r>
          </w:p>
        </w:tc>
        <w:tc>
          <w:tcPr>
            <w:tcW w:type="dxa" w:w="2340"/>
            <w:shd w:fill="F2F6FA" w:val="clear"/>
          </w:tcPr>
          <w:p>
            <w:r>
              <w:rPr>
                <w:rFonts w:ascii="Calibri" w:hAnsi="Calibri"/>
                <w:color w:val="333333"/>
                <w:sz w:val="18"/>
              </w:rPr>
              <w:t>Budget Confirmation</w:t>
            </w:r>
          </w:p>
        </w:tc>
        <w:tc>
          <w:tcPr>
            <w:tcW w:type="dxa" w:w="2340"/>
            <w:shd w:fill="F2F6FA" w:val="clear"/>
          </w:tcPr>
          <w:p>
            <w:r>
              <w:rPr>
                <w:rFonts w:ascii="Calibri" w:hAnsi="Calibri"/>
                <w:color w:val="333333"/>
                <w:sz w:val="18"/>
              </w:rPr>
              <w:t>-</w:t>
            </w:r>
          </w:p>
        </w:tc>
      </w:tr>
      <w:tr>
        <w:tc>
          <w:tcPr>
            <w:tcW w:type="dxa" w:w="2340"/>
          </w:tcPr>
          <w:p>
            <w:r>
              <w:rPr>
                <w:rFonts w:ascii="Calibri" w:hAnsi="Calibri"/>
                <w:color w:val="333333"/>
                <w:sz w:val="18"/>
              </w:rPr>
              <w:t>₹2,00,001 - ₹10,00,000</w:t>
            </w:r>
          </w:p>
        </w:tc>
        <w:tc>
          <w:tcPr>
            <w:tcW w:type="dxa" w:w="2340"/>
          </w:tcPr>
          <w:p>
            <w:r>
              <w:rPr>
                <w:rFonts w:ascii="Calibri" w:hAnsi="Calibri"/>
                <w:color w:val="333333"/>
                <w:sz w:val="18"/>
              </w:rPr>
              <w:t>VP</w:t>
            </w:r>
          </w:p>
        </w:tc>
        <w:tc>
          <w:tcPr>
            <w:tcW w:type="dxa" w:w="2340"/>
          </w:tcPr>
          <w:p>
            <w:r>
              <w:rPr>
                <w:rFonts w:ascii="Calibri" w:hAnsi="Calibri"/>
                <w:color w:val="333333"/>
                <w:sz w:val="18"/>
              </w:rPr>
              <w:t>Procurement Team</w:t>
            </w:r>
          </w:p>
        </w:tc>
        <w:tc>
          <w:tcPr>
            <w:tcW w:type="dxa" w:w="2340"/>
          </w:tcPr>
          <w:p>
            <w:r>
              <w:rPr>
                <w:rFonts w:ascii="Calibri" w:hAnsi="Calibri"/>
                <w:color w:val="333333"/>
                <w:sz w:val="18"/>
              </w:rPr>
              <w:t>-</w:t>
            </w:r>
          </w:p>
        </w:tc>
      </w:tr>
      <w:tr>
        <w:tc>
          <w:tcPr>
            <w:tcW w:type="dxa" w:w="2340"/>
            <w:shd w:fill="F2F6FA" w:val="clear"/>
          </w:tcPr>
          <w:p>
            <w:r>
              <w:rPr>
                <w:rFonts w:ascii="Calibri" w:hAnsi="Calibri"/>
                <w:color w:val="333333"/>
                <w:sz w:val="18"/>
              </w:rPr>
              <w:t>₹10,00,001 - ₹25,00,000</w:t>
            </w:r>
          </w:p>
        </w:tc>
        <w:tc>
          <w:tcPr>
            <w:tcW w:type="dxa" w:w="2340"/>
            <w:shd w:fill="F2F6FA" w:val="clear"/>
          </w:tcPr>
          <w:p>
            <w:r>
              <w:rPr>
                <w:rFonts w:ascii="Calibri" w:hAnsi="Calibri"/>
                <w:color w:val="333333"/>
                <w:sz w:val="18"/>
              </w:rPr>
              <w:t>VP</w:t>
            </w:r>
          </w:p>
        </w:tc>
        <w:tc>
          <w:tcPr>
            <w:tcW w:type="dxa" w:w="2340"/>
            <w:shd w:fill="F2F6FA" w:val="clear"/>
          </w:tcPr>
          <w:p>
            <w:r>
              <w:rPr>
                <w:rFonts w:ascii="Calibri" w:hAnsi="Calibri"/>
                <w:color w:val="333333"/>
                <w:sz w:val="18"/>
              </w:rPr>
              <w:t>CFO</w:t>
            </w:r>
          </w:p>
        </w:tc>
        <w:tc>
          <w:tcPr>
            <w:tcW w:type="dxa" w:w="2340"/>
            <w:shd w:fill="F2F6FA" w:val="clear"/>
          </w:tcPr>
          <w:p>
            <w:r>
              <w:rPr>
                <w:rFonts w:ascii="Calibri" w:hAnsi="Calibri"/>
                <w:color w:val="333333"/>
                <w:sz w:val="18"/>
              </w:rPr>
              <w:t>-</w:t>
            </w:r>
          </w:p>
        </w:tc>
      </w:tr>
      <w:tr>
        <w:tc>
          <w:tcPr>
            <w:tcW w:type="dxa" w:w="2340"/>
          </w:tcPr>
          <w:p>
            <w:r>
              <w:rPr>
                <w:rFonts w:ascii="Calibri" w:hAnsi="Calibri"/>
                <w:color w:val="333333"/>
                <w:sz w:val="18"/>
              </w:rPr>
              <w:t>₹25,00,001 - ₹1,00,00,000</w:t>
            </w:r>
          </w:p>
        </w:tc>
        <w:tc>
          <w:tcPr>
            <w:tcW w:type="dxa" w:w="2340"/>
          </w:tcPr>
          <w:p>
            <w:r>
              <w:rPr>
                <w:rFonts w:ascii="Calibri" w:hAnsi="Calibri"/>
                <w:color w:val="333333"/>
                <w:sz w:val="18"/>
              </w:rPr>
              <w:t>CFO</w:t>
            </w:r>
          </w:p>
        </w:tc>
        <w:tc>
          <w:tcPr>
            <w:tcW w:type="dxa" w:w="2340"/>
          </w:tcPr>
          <w:p>
            <w:r>
              <w:rPr>
                <w:rFonts w:ascii="Calibri" w:hAnsi="Calibri"/>
                <w:color w:val="333333"/>
                <w:sz w:val="18"/>
              </w:rPr>
              <w:t>CEO</w:t>
            </w:r>
          </w:p>
        </w:tc>
        <w:tc>
          <w:tcPr>
            <w:tcW w:type="dxa" w:w="2340"/>
          </w:tcPr>
          <w:p>
            <w:r>
              <w:rPr>
                <w:rFonts w:ascii="Calibri" w:hAnsi="Calibri"/>
                <w:color w:val="333333"/>
                <w:sz w:val="18"/>
              </w:rPr>
              <w:t>-</w:t>
            </w:r>
          </w:p>
        </w:tc>
      </w:tr>
      <w:tr>
        <w:tc>
          <w:tcPr>
            <w:tcW w:type="dxa" w:w="2340"/>
            <w:shd w:fill="F2F6FA" w:val="clear"/>
          </w:tcPr>
          <w:p>
            <w:r>
              <w:rPr>
                <w:rFonts w:ascii="Calibri" w:hAnsi="Calibri"/>
                <w:color w:val="333333"/>
                <w:sz w:val="18"/>
              </w:rPr>
              <w:t>&gt; ₹1,00,00,000</w:t>
            </w:r>
          </w:p>
        </w:tc>
        <w:tc>
          <w:tcPr>
            <w:tcW w:type="dxa" w:w="2340"/>
            <w:shd w:fill="F2F6FA" w:val="clear"/>
          </w:tcPr>
          <w:p>
            <w:r>
              <w:rPr>
                <w:rFonts w:ascii="Calibri" w:hAnsi="Calibri"/>
                <w:color w:val="333333"/>
                <w:sz w:val="18"/>
              </w:rPr>
              <w:t>CFO</w:t>
            </w:r>
          </w:p>
        </w:tc>
        <w:tc>
          <w:tcPr>
            <w:tcW w:type="dxa" w:w="2340"/>
            <w:shd w:fill="F2F6FA" w:val="clear"/>
          </w:tcPr>
          <w:p>
            <w:r>
              <w:rPr>
                <w:rFonts w:ascii="Calibri" w:hAnsi="Calibri"/>
                <w:color w:val="333333"/>
                <w:sz w:val="18"/>
              </w:rPr>
              <w:t>CEO</w:t>
            </w:r>
          </w:p>
        </w:tc>
        <w:tc>
          <w:tcPr>
            <w:tcW w:type="dxa" w:w="2340"/>
            <w:shd w:fill="F2F6FA" w:val="clear"/>
          </w:tcPr>
          <w:p>
            <w:r>
              <w:rPr>
                <w:rFonts w:ascii="Calibri" w:hAnsi="Calibri"/>
                <w:color w:val="333333"/>
                <w:sz w:val="18"/>
              </w:rPr>
              <w:t>Board Notification</w:t>
            </w:r>
          </w:p>
        </w:tc>
      </w:tr>
    </w:tbl>
    <w:p/>
    <w:p>
      <w:pPr>
        <w:pStyle w:val="Heading1"/>
      </w:pPr>
      <w:r>
        <w:t>3. Competitive Bidding Requirements</w:t>
      </w:r>
    </w:p>
    <w:p>
      <w:pPr/>
      <w:r>
        <w:t>To ensure optimal pricing and quality:</w:t>
      </w:r>
    </w:p>
    <w:p>
      <w:pPr>
        <w:pStyle w:val="ListBullet"/>
      </w:pPr>
      <w:r>
        <w:t>Purchases &gt; ₹2,00,000: Minimum of 3 competitive quotes required.</w:t>
      </w:r>
    </w:p>
    <w:p>
      <w:pPr>
        <w:pStyle w:val="ListBullet"/>
      </w:pPr>
      <w:r>
        <w:t>Purchases &gt; ₹10,00,000: Formal Request for Proposal (RFP) process required.</w:t>
      </w:r>
    </w:p>
    <w:p>
      <w:pPr>
        <w:pStyle w:val="Heading1"/>
      </w:pPr>
      <w:r>
        <w:t>4. Specific Procurement Categories</w:t>
      </w:r>
    </w:p>
    <w:p>
      <w:pPr>
        <w:pStyle w:val="Heading2"/>
      </w:pPr>
      <w:r>
        <w:t>4.1 Software and SaaS</w:t>
      </w:r>
    </w:p>
    <w:p>
      <w:pPr/>
      <w:r>
        <w:t xml:space="preserve">All software procurement must undergo IT and Security review as per SEC-012. Cloud vendors must pass the rigorous Cloud Vendor Assessment protocol. All software procurement must undergo IT and Security review as per SEC-012. Cloud vendors must pass the rigorous Cloud Vendor Assessment protocol. All software procurement must undergo IT and Security review as per SEC-012. Cloud vendors must pass the rigorous Cloud Vendor Assessment protocol. </w:t>
      </w:r>
    </w:p>
    <w:p>
      <w:pPr>
        <w:pStyle w:val="Heading2"/>
      </w:pPr>
      <w:r>
        <w:t>4.2 Hardware</w:t>
      </w:r>
    </w:p>
    <w:p>
      <w:pPr/>
      <w:r>
        <w:t>Hardware purchases must align with IT standard configurations defined in ENG-009.</w:t>
      </w:r>
    </w:p>
    <w:p>
      <w:pPr>
        <w:pStyle w:val="Heading1"/>
      </w:pPr>
      <w:r>
        <w:t>5. Compliance and Ethics</w:t>
      </w:r>
    </w:p>
    <w:p>
      <w:pPr/>
      <w:r>
        <w:t xml:space="preserve">All procurement personnel must avoid conflicts of interest (LEGAL-002) and adhere to the Anti-Bribery and Anti-Corruption Policy (LEGAL-001). Contracts over ₹5,00,000 mandate Legal Department review. All procurement personnel must avoid conflicts of interest (LEGAL-002) and adhere to the Anti-Bribery and Anti-Corruption Policy (LEGAL-001). Contracts over ₹5,00,000 mandate Legal Department review. All procurement personnel must avoid conflicts of interest (LEGAL-002) and adhere to the Anti-Bribery and Anti-Corruption Policy (LEGAL-001). Contracts over ₹5,00,000 mandate Legal Department review. All procurement personnel must avoid conflicts of interest (LEGAL-002) and adhere to the Anti-Bribery and Anti-Corruption Policy (LEGAL-001). Contracts over ₹5,00,000 mandate Legal Department review. </w:t>
      </w:r>
    </w:p>
    <w:p>
      <w:pPr>
        <w:pStyle w:val="Heading1"/>
      </w:pPr>
      <w:r>
        <w:t>6. Emergency Procurement</w:t>
      </w:r>
    </w:p>
    <w:p>
      <w:pPr/>
      <w:r>
        <w:t>In critical situations, a 24-hour fast-track procurement process is available. It requires immediate VP approval with post-facto documentation submitted within 3 business days.</w:t>
      </w:r>
    </w:p>
    <w:p>
      <w:r>
        <w:rPr>
          <w:rFonts w:ascii="Calibri" w:hAnsi="Calibri"/>
          <w:b/>
          <w:color w:val="1B3A5C"/>
          <w:sz w:val="22"/>
        </w:rPr>
        <w:t>Q: Do I need 3 quotes if the vendor is a sole supplier (FAQ 1)?</w:t>
      </w:r>
    </w:p>
    <w:p>
      <w:pPr>
        <w:spacing w:after="240"/>
      </w:pPr>
      <w:r>
        <w:rPr>
          <w:rFonts w:ascii="Calibri" w:hAnsi="Calibri"/>
          <w:color w:val="333333"/>
          <w:sz w:val="22"/>
        </w:rPr>
        <w:t>A: A Sole Source Justification form must be filled out and approved by the Procurement Head.</w:t>
      </w:r>
    </w:p>
    <w:p>
      <w:r>
        <w:rPr>
          <w:rFonts w:ascii="Calibri" w:hAnsi="Calibri"/>
          <w:b/>
          <w:color w:val="1B3A5C"/>
          <w:sz w:val="22"/>
        </w:rPr>
        <w:t>Q: Do I need 3 quotes if the vendor is a sole supplier (FAQ 2)?</w:t>
      </w:r>
    </w:p>
    <w:p>
      <w:pPr>
        <w:spacing w:after="240"/>
      </w:pPr>
      <w:r>
        <w:rPr>
          <w:rFonts w:ascii="Calibri" w:hAnsi="Calibri"/>
          <w:color w:val="333333"/>
          <w:sz w:val="22"/>
        </w:rPr>
        <w:t>A: A Sole Source Justification form must be filled out and approved by the Procurement Head.</w:t>
      </w:r>
    </w:p>
    <w:p>
      <w:r>
        <w:rPr>
          <w:rFonts w:ascii="Calibri" w:hAnsi="Calibri"/>
          <w:b/>
          <w:color w:val="1B3A5C"/>
          <w:sz w:val="22"/>
        </w:rPr>
        <w:t>Q: Do I need 3 quotes if the vendor is a sole supplier (FAQ 3)?</w:t>
      </w:r>
    </w:p>
    <w:p>
      <w:pPr>
        <w:spacing w:after="240"/>
      </w:pPr>
      <w:r>
        <w:rPr>
          <w:rFonts w:ascii="Calibri" w:hAnsi="Calibri"/>
          <w:color w:val="333333"/>
          <w:sz w:val="22"/>
        </w:rPr>
        <w:t>A: A Sole Source Justification form must be filled out and approved by the Procurement Head.</w:t>
      </w:r>
    </w:p>
    <w:p>
      <w:r>
        <w:rPr>
          <w:rFonts w:ascii="Calibri" w:hAnsi="Calibri"/>
          <w:b/>
          <w:color w:val="1B3A5C"/>
          <w:sz w:val="22"/>
        </w:rPr>
        <w:t>Q: Do I need 3 quotes if the vendor is a sole supplier (FAQ 4)?</w:t>
      </w:r>
    </w:p>
    <w:p>
      <w:pPr>
        <w:spacing w:after="240"/>
      </w:pPr>
      <w:r>
        <w:rPr>
          <w:rFonts w:ascii="Calibri" w:hAnsi="Calibri"/>
          <w:color w:val="333333"/>
          <w:sz w:val="22"/>
        </w:rPr>
        <w:t>A: A Sole Source Justification form must be filled out and approved by the Procurement Head.</w:t>
      </w:r>
    </w:p>
    <w:p>
      <w:r>
        <w:rPr>
          <w:rFonts w:ascii="Calibri" w:hAnsi="Calibri"/>
          <w:b/>
          <w:color w:val="1B3A5C"/>
          <w:sz w:val="22"/>
        </w:rPr>
        <w:t>Q: Do I need 3 quotes if the vendor is a sole supplier (FAQ 5)?</w:t>
      </w:r>
    </w:p>
    <w:p>
      <w:pPr>
        <w:spacing w:after="240"/>
      </w:pPr>
      <w:r>
        <w:rPr>
          <w:rFonts w:ascii="Calibri" w:hAnsi="Calibri"/>
          <w:color w:val="333333"/>
          <w:sz w:val="22"/>
        </w:rPr>
        <w:t>A: A Sole Source Justification form must be filled out and approved by the Procurement Head.</w:t>
      </w:r>
    </w:p>
    <w:p>
      <w:r>
        <w:rPr>
          <w:rFonts w:ascii="Calibri" w:hAnsi="Calibri"/>
          <w:b/>
          <w:color w:val="1B3A5C"/>
          <w:sz w:val="22"/>
        </w:rPr>
        <w:t>Q: Do I need 3 quotes if the vendor is a sole supplier (FAQ 6)?</w:t>
      </w:r>
    </w:p>
    <w:p>
      <w:pPr>
        <w:spacing w:after="240"/>
      </w:pPr>
      <w:r>
        <w:rPr>
          <w:rFonts w:ascii="Calibri" w:hAnsi="Calibri"/>
          <w:color w:val="333333"/>
          <w:sz w:val="22"/>
        </w:rPr>
        <w:t>A: A Sole Source Justification form must be filled out and approved by the Procurement Head.</w:t>
      </w:r>
    </w:p>
    <w:p>
      <w:r>
        <w:rPr>
          <w:rFonts w:ascii="Calibri" w:hAnsi="Calibri"/>
          <w:b/>
          <w:color w:val="1B3A5C"/>
          <w:sz w:val="22"/>
        </w:rPr>
        <w:t>Q: Do I need 3 quotes if the vendor is a sole supplier (FAQ 7)?</w:t>
      </w:r>
    </w:p>
    <w:p>
      <w:pPr>
        <w:spacing w:after="240"/>
      </w:pPr>
      <w:r>
        <w:rPr>
          <w:rFonts w:ascii="Calibri" w:hAnsi="Calibri"/>
          <w:color w:val="333333"/>
          <w:sz w:val="22"/>
        </w:rPr>
        <w:t>A: A Sole Source Justification form must be filled out and approved by the Procurement Head.</w:t>
      </w:r>
    </w:p>
    <w:p>
      <w:r>
        <w:rPr>
          <w:rFonts w:ascii="Calibri" w:hAnsi="Calibri"/>
          <w:b/>
          <w:color w:val="1B3A5C"/>
          <w:sz w:val="22"/>
        </w:rPr>
        <w:t>Q: Do I need 3 quotes if the vendor is a sole supplier (FAQ 8)?</w:t>
      </w:r>
    </w:p>
    <w:p>
      <w:pPr>
        <w:spacing w:after="240"/>
      </w:pPr>
      <w:r>
        <w:rPr>
          <w:rFonts w:ascii="Calibri" w:hAnsi="Calibri"/>
          <w:color w:val="333333"/>
          <w:sz w:val="22"/>
        </w:rPr>
        <w:t>A: A Sole Source Justification form must be filled out and approved by the Procurement Head.</w:t>
      </w:r>
    </w:p>
    <w:p>
      <w:r>
        <w:rPr>
          <w:rFonts w:ascii="Calibri" w:hAnsi="Calibri"/>
          <w:b/>
          <w:color w:val="1B3A5C"/>
          <w:sz w:val="22"/>
        </w:rPr>
        <w:t>Q: Do I need 3 quotes if the vendor is a sole supplier (FAQ 9)?</w:t>
      </w:r>
    </w:p>
    <w:p>
      <w:pPr>
        <w:spacing w:after="240"/>
      </w:pPr>
      <w:r>
        <w:rPr>
          <w:rFonts w:ascii="Calibri" w:hAnsi="Calibri"/>
          <w:color w:val="333333"/>
          <w:sz w:val="22"/>
        </w:rPr>
        <w:t>A: A Sole Source Justification form must be filled out and approved by the Procurement Head.</w:t>
      </w:r>
    </w:p>
    <w:p>
      <w:r>
        <w:rPr>
          <w:rFonts w:ascii="Calibri" w:hAnsi="Calibri"/>
          <w:b/>
          <w:color w:val="1B3A5C"/>
          <w:sz w:val="22"/>
        </w:rPr>
        <w:t>Q: Do I need 3 quotes if the vendor is a sole supplier (FAQ 10)?</w:t>
      </w:r>
    </w:p>
    <w:p>
      <w:pPr>
        <w:spacing w:after="240"/>
      </w:pPr>
      <w:r>
        <w:rPr>
          <w:rFonts w:ascii="Calibri" w:hAnsi="Calibri"/>
          <w:color w:val="333333"/>
          <w:sz w:val="22"/>
        </w:rPr>
        <w:t>A: A Sole Source Justification form must be filled out and approved by the Procurement Head.</w:t>
      </w:r>
    </w:p>
    <w:p>
      <w:r>
        <w:rPr>
          <w:rFonts w:ascii="Calibri" w:hAnsi="Calibri"/>
          <w:b/>
          <w:color w:val="1B3A5C"/>
          <w:sz w:val="22"/>
        </w:rPr>
        <w:t>Q: Do I need 3 quotes if the vendor is a sole supplier (FAQ 11)?</w:t>
      </w:r>
    </w:p>
    <w:p>
      <w:pPr>
        <w:spacing w:after="240"/>
      </w:pPr>
      <w:r>
        <w:rPr>
          <w:rFonts w:ascii="Calibri" w:hAnsi="Calibri"/>
          <w:color w:val="333333"/>
          <w:sz w:val="22"/>
        </w:rPr>
        <w:t>A: A Sole Source Justification form must be filled out and approved by the Procurement Head.</w:t>
      </w:r>
    </w:p>
    <w:p>
      <w:r>
        <w:rPr>
          <w:rFonts w:ascii="Calibri" w:hAnsi="Calibri"/>
          <w:b/>
          <w:color w:val="1B3A5C"/>
          <w:sz w:val="22"/>
        </w:rPr>
        <w:t>Q: Do I need 3 quotes if the vendor is a sole supplier (FAQ 12)?</w:t>
      </w:r>
    </w:p>
    <w:p>
      <w:pPr>
        <w:spacing w:after="240"/>
      </w:pPr>
      <w:r>
        <w:rPr>
          <w:rFonts w:ascii="Calibri" w:hAnsi="Calibri"/>
          <w:color w:val="333333"/>
          <w:sz w:val="22"/>
        </w:rPr>
        <w:t>A: A Sole Source Justification form must be filled out and approved by the Procurement Head.</w:t>
      </w:r>
    </w:p>
    <w:p>
      <w:r>
        <w:rPr>
          <w:rFonts w:ascii="Calibri" w:hAnsi="Calibri"/>
          <w:b/>
          <w:color w:val="1B3A5C"/>
          <w:sz w:val="22"/>
        </w:rPr>
        <w:t>Q: Do I need 3 quotes if the vendor is a sole supplier (FAQ 13)?</w:t>
      </w:r>
    </w:p>
    <w:p>
      <w:pPr>
        <w:spacing w:after="240"/>
      </w:pPr>
      <w:r>
        <w:rPr>
          <w:rFonts w:ascii="Calibri" w:hAnsi="Calibri"/>
          <w:color w:val="333333"/>
          <w:sz w:val="22"/>
        </w:rPr>
        <w:t>A: A Sole Source Justification form must be filled out and approved by the Procurement Head.</w:t>
      </w:r>
    </w:p>
    <w:p>
      <w:r>
        <w:rPr>
          <w:rFonts w:ascii="Calibri" w:hAnsi="Calibri"/>
          <w:b/>
          <w:color w:val="1B3A5C"/>
          <w:sz w:val="22"/>
        </w:rPr>
        <w:t>Q: Do I need 3 quotes if the vendor is a sole supplier (FAQ 14)?</w:t>
      </w:r>
    </w:p>
    <w:p>
      <w:pPr>
        <w:spacing w:after="240"/>
      </w:pPr>
      <w:r>
        <w:rPr>
          <w:rFonts w:ascii="Calibri" w:hAnsi="Calibri"/>
          <w:color w:val="333333"/>
          <w:sz w:val="22"/>
        </w:rPr>
        <w:t>A: A Sole Source Justification form must be filled out and approved by the Procurement Head.</w:t>
      </w:r>
    </w:p>
    <w:p>
      <w:pPr>
        <w:pStyle w:val="Heading3"/>
      </w:pPr>
      <w:r>
        <w:t>Scenario 1: SaaS Renewal</w:t>
      </w:r>
    </w:p>
    <w:p>
      <w:r>
        <w:rPr>
          <w:b/>
          <w:color w:val="1B3A5C"/>
        </w:rPr>
        <w:t xml:space="preserve">Situation: </w:t>
      </w:r>
      <w:r>
        <w:t>Renewing a $50k SaaS contract.</w:t>
      </w:r>
    </w:p>
    <w:p>
      <w:r>
        <w:rPr>
          <w:b/>
          <w:color w:val="1B3A5C"/>
        </w:rPr>
        <w:t xml:space="preserve">Relevant Requirements: </w:t>
      </w:r>
      <w:r>
        <w:t>Requires VP and Procurement team approval.</w:t>
      </w:r>
    </w:p>
    <w:p>
      <w:r>
        <w:rPr>
          <w:b/>
          <w:color w:val="1B3A5C"/>
        </w:rPr>
        <w:t xml:space="preserve">Expected Process: </w:t>
      </w:r>
      <w:r>
        <w:t>Legal review not needed if using pre-approved standard terms.</w:t>
      </w:r>
    </w:p>
    <w:p>
      <w:r>
        <w:rPr>
          <w:b/>
          <w:color w:val="1B3A5C"/>
        </w:rPr>
        <w:t xml:space="preserve">Outcome: </w:t>
      </w:r>
      <w:r>
        <w:t>PO issued successfully.</w:t>
      </w:r>
    </w:p>
    <w:p/>
    <w:p>
      <w:pPr>
        <w:pStyle w:val="Heading3"/>
      </w:pPr>
      <w:r>
        <w:t>Scenario 2: SaaS Renewal</w:t>
      </w:r>
    </w:p>
    <w:p>
      <w:r>
        <w:rPr>
          <w:b/>
          <w:color w:val="1B3A5C"/>
        </w:rPr>
        <w:t xml:space="preserve">Situation: </w:t>
      </w:r>
      <w:r>
        <w:t>Renewing a $50k SaaS contract.</w:t>
      </w:r>
    </w:p>
    <w:p>
      <w:r>
        <w:rPr>
          <w:b/>
          <w:color w:val="1B3A5C"/>
        </w:rPr>
        <w:t xml:space="preserve">Relevant Requirements: </w:t>
      </w:r>
      <w:r>
        <w:t>Requires VP and Procurement team approval.</w:t>
      </w:r>
    </w:p>
    <w:p>
      <w:r>
        <w:rPr>
          <w:b/>
          <w:color w:val="1B3A5C"/>
        </w:rPr>
        <w:t xml:space="preserve">Expected Process: </w:t>
      </w:r>
      <w:r>
        <w:t>Legal review not needed if using pre-approved standard terms.</w:t>
      </w:r>
    </w:p>
    <w:p>
      <w:r>
        <w:rPr>
          <w:b/>
          <w:color w:val="1B3A5C"/>
        </w:rPr>
        <w:t xml:space="preserve">Outcome: </w:t>
      </w:r>
      <w:r>
        <w:t>PO issued successfully.</w:t>
      </w:r>
    </w:p>
    <w:p/>
    <w:p>
      <w:pPr>
        <w:pStyle w:val="Heading3"/>
      </w:pPr>
      <w:r>
        <w:t>Scenario 3: SaaS Renewal</w:t>
      </w:r>
    </w:p>
    <w:p>
      <w:r>
        <w:rPr>
          <w:b/>
          <w:color w:val="1B3A5C"/>
        </w:rPr>
        <w:t xml:space="preserve">Situation: </w:t>
      </w:r>
      <w:r>
        <w:t>Renewing a $50k SaaS contract.</w:t>
      </w:r>
    </w:p>
    <w:p>
      <w:r>
        <w:rPr>
          <w:b/>
          <w:color w:val="1B3A5C"/>
        </w:rPr>
        <w:t xml:space="preserve">Relevant Requirements: </w:t>
      </w:r>
      <w:r>
        <w:t>Requires VP and Procurement team approval.</w:t>
      </w:r>
    </w:p>
    <w:p>
      <w:r>
        <w:rPr>
          <w:b/>
          <w:color w:val="1B3A5C"/>
        </w:rPr>
        <w:t xml:space="preserve">Expected Process: </w:t>
      </w:r>
      <w:r>
        <w:t>Legal review not needed if using pre-approved standard terms.</w:t>
      </w:r>
    </w:p>
    <w:p>
      <w:r>
        <w:rPr>
          <w:b/>
          <w:color w:val="1B3A5C"/>
        </w:rPr>
        <w:t xml:space="preserve">Outcome: </w:t>
      </w:r>
      <w:r>
        <w:t>PO issued successfully.</w:t>
      </w:r>
    </w:p>
    <w:p/>
    <w:p>
      <w:pPr>
        <w:pStyle w:val="Heading3"/>
      </w:pPr>
      <w:r>
        <w:t>Scenario 4: SaaS Renewal</w:t>
      </w:r>
    </w:p>
    <w:p>
      <w:r>
        <w:rPr>
          <w:b/>
          <w:color w:val="1B3A5C"/>
        </w:rPr>
        <w:t xml:space="preserve">Situation: </w:t>
      </w:r>
      <w:r>
        <w:t>Renewing a $50k SaaS contract.</w:t>
      </w:r>
    </w:p>
    <w:p>
      <w:r>
        <w:rPr>
          <w:b/>
          <w:color w:val="1B3A5C"/>
        </w:rPr>
        <w:t xml:space="preserve">Relevant Requirements: </w:t>
      </w:r>
      <w:r>
        <w:t>Requires VP and Procurement team approval.</w:t>
      </w:r>
    </w:p>
    <w:p>
      <w:r>
        <w:rPr>
          <w:b/>
          <w:color w:val="1B3A5C"/>
        </w:rPr>
        <w:t xml:space="preserve">Expected Process: </w:t>
      </w:r>
      <w:r>
        <w:t>Legal review not needed if using pre-approved standard terms.</w:t>
      </w:r>
    </w:p>
    <w:p>
      <w:r>
        <w:rPr>
          <w:b/>
          <w:color w:val="1B3A5C"/>
        </w:rPr>
        <w:t xml:space="preserve">Outcome: </w:t>
      </w:r>
      <w:r>
        <w:t>PO issued successfully.</w:t>
      </w:r>
    </w:p>
    <w:p/>
    <w:p>
      <w:pPr>
        <w:pStyle w:val="Heading3"/>
      </w:pPr>
      <w:r>
        <w:t>Scenario 5: SaaS Renewal</w:t>
      </w:r>
    </w:p>
    <w:p>
      <w:r>
        <w:rPr>
          <w:b/>
          <w:color w:val="1B3A5C"/>
        </w:rPr>
        <w:t xml:space="preserve">Situation: </w:t>
      </w:r>
      <w:r>
        <w:t>Renewing a $50k SaaS contract.</w:t>
      </w:r>
    </w:p>
    <w:p>
      <w:r>
        <w:rPr>
          <w:b/>
          <w:color w:val="1B3A5C"/>
        </w:rPr>
        <w:t xml:space="preserve">Relevant Requirements: </w:t>
      </w:r>
      <w:r>
        <w:t>Requires VP and Procurement team approval.</w:t>
      </w:r>
    </w:p>
    <w:p>
      <w:r>
        <w:rPr>
          <w:b/>
          <w:color w:val="1B3A5C"/>
        </w:rPr>
        <w:t xml:space="preserve">Expected Process: </w:t>
      </w:r>
      <w:r>
        <w:t>Legal review not needed if using pre-approved standard terms.</w:t>
      </w:r>
    </w:p>
    <w:p>
      <w:r>
        <w:rPr>
          <w:b/>
          <w:color w:val="1B3A5C"/>
        </w:rPr>
        <w:t xml:space="preserve">Outcome: </w:t>
      </w:r>
      <w:r>
        <w:t>PO issued successfully.</w:t>
      </w:r>
    </w:p>
    <w:p/>
    <w:p>
      <w:pPr>
        <w:pStyle w:val="Heading3"/>
      </w:pPr>
      <w:r>
        <w:t>Scenario 6: SaaS Renewal</w:t>
      </w:r>
    </w:p>
    <w:p>
      <w:r>
        <w:rPr>
          <w:b/>
          <w:color w:val="1B3A5C"/>
        </w:rPr>
        <w:t xml:space="preserve">Situation: </w:t>
      </w:r>
      <w:r>
        <w:t>Renewing a $50k SaaS contract.</w:t>
      </w:r>
    </w:p>
    <w:p>
      <w:r>
        <w:rPr>
          <w:b/>
          <w:color w:val="1B3A5C"/>
        </w:rPr>
        <w:t xml:space="preserve">Relevant Requirements: </w:t>
      </w:r>
      <w:r>
        <w:t>Requires VP and Procurement team approval.</w:t>
      </w:r>
    </w:p>
    <w:p>
      <w:r>
        <w:rPr>
          <w:b/>
          <w:color w:val="1B3A5C"/>
        </w:rPr>
        <w:t xml:space="preserve">Expected Process: </w:t>
      </w:r>
      <w:r>
        <w:t>Legal review not needed if using pre-approved standard terms.</w:t>
      </w:r>
    </w:p>
    <w:p>
      <w:r>
        <w:rPr>
          <w:b/>
          <w:color w:val="1B3A5C"/>
        </w:rPr>
        <w:t xml:space="preserve">Outcome: </w:t>
      </w:r>
      <w:r>
        <w:t>PO issued successfully.</w:t>
      </w:r>
    </w:p>
    <w:p/>
    <w:p>
      <w:pPr>
        <w:pStyle w:val="Heading3"/>
      </w:pPr>
      <w:r>
        <w:t>Scenario 7: SaaS Renewal</w:t>
      </w:r>
    </w:p>
    <w:p>
      <w:r>
        <w:rPr>
          <w:b/>
          <w:color w:val="1B3A5C"/>
        </w:rPr>
        <w:t xml:space="preserve">Situation: </w:t>
      </w:r>
      <w:r>
        <w:t>Renewing a $50k SaaS contract.</w:t>
      </w:r>
    </w:p>
    <w:p>
      <w:r>
        <w:rPr>
          <w:b/>
          <w:color w:val="1B3A5C"/>
        </w:rPr>
        <w:t xml:space="preserve">Relevant Requirements: </w:t>
      </w:r>
      <w:r>
        <w:t>Requires VP and Procurement team approval.</w:t>
      </w:r>
    </w:p>
    <w:p>
      <w:r>
        <w:rPr>
          <w:b/>
          <w:color w:val="1B3A5C"/>
        </w:rPr>
        <w:t xml:space="preserve">Expected Process: </w:t>
      </w:r>
      <w:r>
        <w:t>Legal review not needed if using pre-approved standard terms.</w:t>
      </w:r>
    </w:p>
    <w:p>
      <w:r>
        <w:rPr>
          <w:b/>
          <w:color w:val="1B3A5C"/>
        </w:rPr>
        <w:t xml:space="preserve">Outcome: </w:t>
      </w:r>
      <w:r>
        <w:t>PO issued successfully.</w:t>
      </w:r>
    </w:p>
    <w:p/>
    <w:p>
      <w:pPr>
        <w:pStyle w:val="Heading3"/>
      </w:pPr>
      <w:r>
        <w:t>Scenario 8: SaaS Renewal</w:t>
      </w:r>
    </w:p>
    <w:p>
      <w:r>
        <w:rPr>
          <w:b/>
          <w:color w:val="1B3A5C"/>
        </w:rPr>
        <w:t xml:space="preserve">Situation: </w:t>
      </w:r>
      <w:r>
        <w:t>Renewing a $50k SaaS contract.</w:t>
      </w:r>
    </w:p>
    <w:p>
      <w:r>
        <w:rPr>
          <w:b/>
          <w:color w:val="1B3A5C"/>
        </w:rPr>
        <w:t xml:space="preserve">Relevant Requirements: </w:t>
      </w:r>
      <w:r>
        <w:t>Requires VP and Procurement team approval.</w:t>
      </w:r>
    </w:p>
    <w:p>
      <w:r>
        <w:rPr>
          <w:b/>
          <w:color w:val="1B3A5C"/>
        </w:rPr>
        <w:t xml:space="preserve">Expected Process: </w:t>
      </w:r>
      <w:r>
        <w:t>Legal review not needed if using pre-approved standard terms.</w:t>
      </w:r>
    </w:p>
    <w:p>
      <w:r>
        <w:rPr>
          <w:b/>
          <w:color w:val="1B3A5C"/>
        </w:rPr>
        <w:t xml:space="preserve">Outcome: </w:t>
      </w:r>
      <w:r>
        <w:t>PO issued successfully.</w:t>
      </w:r>
    </w:p>
    <w:p/>
    <w:p>
      <w:pPr>
        <w:pStyle w:val="Heading3"/>
      </w:pPr>
      <w:r>
        <w:t>Scenario 9: SaaS Renewal</w:t>
      </w:r>
    </w:p>
    <w:p>
      <w:r>
        <w:rPr>
          <w:b/>
          <w:color w:val="1B3A5C"/>
        </w:rPr>
        <w:t xml:space="preserve">Situation: </w:t>
      </w:r>
      <w:r>
        <w:t>Renewing a $50k SaaS contract.</w:t>
      </w:r>
    </w:p>
    <w:p>
      <w:r>
        <w:rPr>
          <w:b/>
          <w:color w:val="1B3A5C"/>
        </w:rPr>
        <w:t xml:space="preserve">Relevant Requirements: </w:t>
      </w:r>
      <w:r>
        <w:t>Requires VP and Procurement team approval.</w:t>
      </w:r>
    </w:p>
    <w:p>
      <w:r>
        <w:rPr>
          <w:b/>
          <w:color w:val="1B3A5C"/>
        </w:rPr>
        <w:t xml:space="preserve">Expected Process: </w:t>
      </w:r>
      <w:r>
        <w:t>Legal review not needed if using pre-approved standard terms.</w:t>
      </w:r>
    </w:p>
    <w:p>
      <w:r>
        <w:rPr>
          <w:b/>
          <w:color w:val="1B3A5C"/>
        </w:rPr>
        <w:t xml:space="preserve">Outcome: </w:t>
      </w:r>
      <w:r>
        <w:t>PO issued successfully.</w:t>
      </w:r>
    </w:p>
    <w:p/>
    <w:p>
      <w:pPr>
        <w:pStyle w:val="Heading1"/>
      </w:pPr>
      <w:r>
        <w:t>Revision History</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1152"/>
            <w:shd w:fill="1B3A5C" w:val="clear"/>
          </w:tcPr>
          <w:p>
            <w:pPr>
              <w:jc w:val="center"/>
            </w:pPr>
            <w:r>
              <w:rPr>
                <w:rFonts w:ascii="Calibri" w:hAnsi="Calibri"/>
                <w:b/>
                <w:color w:val="FFFFFF"/>
                <w:sz w:val="20"/>
              </w:rPr>
              <w:t>Version</w:t>
            </w:r>
          </w:p>
        </w:tc>
        <w:tc>
          <w:tcPr>
            <w:tcW w:type="dxa" w:w="1872"/>
            <w:shd w:fill="1B3A5C" w:val="clear"/>
          </w:tcPr>
          <w:p>
            <w:pPr>
              <w:jc w:val="center"/>
            </w:pPr>
            <w:r>
              <w:rPr>
                <w:rFonts w:ascii="Calibri" w:hAnsi="Calibri"/>
                <w:b/>
                <w:color w:val="FFFFFF"/>
                <w:sz w:val="20"/>
              </w:rPr>
              <w:t>Effective Date</w:t>
            </w:r>
          </w:p>
        </w:tc>
        <w:tc>
          <w:tcPr>
            <w:tcW w:type="dxa" w:w="2160"/>
            <w:shd w:fill="1B3A5C" w:val="clear"/>
          </w:tcPr>
          <w:p>
            <w:pPr>
              <w:jc w:val="center"/>
            </w:pPr>
            <w:r>
              <w:rPr>
                <w:rFonts w:ascii="Calibri" w:hAnsi="Calibri"/>
                <w:b/>
                <w:color w:val="FFFFFF"/>
                <w:sz w:val="20"/>
              </w:rPr>
              <w:t>Author / Function</w:t>
            </w:r>
          </w:p>
        </w:tc>
        <w:tc>
          <w:tcPr>
            <w:tcW w:type="dxa" w:w="4320"/>
            <w:shd w:fill="1B3A5C" w:val="clear"/>
          </w:tcPr>
          <w:p>
            <w:pPr>
              <w:jc w:val="center"/>
            </w:pPr>
            <w:r>
              <w:rPr>
                <w:rFonts w:ascii="Calibri" w:hAnsi="Calibri"/>
                <w:b/>
                <w:color w:val="FFFFFF"/>
                <w:sz w:val="20"/>
              </w:rPr>
              <w:t>Description</w:t>
            </w:r>
          </w:p>
        </w:tc>
      </w:tr>
      <w:tr>
        <w:tc>
          <w:tcPr>
            <w:tcW w:type="dxa" w:w="1152"/>
          </w:tcPr>
          <w:p>
            <w:r>
              <w:rPr>
                <w:rFonts w:ascii="Calibri" w:hAnsi="Calibri"/>
                <w:color w:val="333333"/>
                <w:sz w:val="18"/>
              </w:rPr>
              <w:t>2.1</w:t>
            </w:r>
          </w:p>
        </w:tc>
        <w:tc>
          <w:tcPr>
            <w:tcW w:type="dxa" w:w="1872"/>
          </w:tcPr>
          <w:p>
            <w:r>
              <w:rPr>
                <w:rFonts w:ascii="Calibri" w:hAnsi="Calibri"/>
                <w:color w:val="333333"/>
                <w:sz w:val="18"/>
              </w:rPr>
              <w:t>01 March 2026</w:t>
            </w:r>
          </w:p>
        </w:tc>
        <w:tc>
          <w:tcPr>
            <w:tcW w:type="dxa" w:w="2160"/>
          </w:tcPr>
          <w:p>
            <w:r>
              <w:rPr>
                <w:rFonts w:ascii="Calibri" w:hAnsi="Calibri"/>
                <w:color w:val="333333"/>
                <w:sz w:val="18"/>
              </w:rPr>
              <w:t>CFO</w:t>
            </w:r>
          </w:p>
        </w:tc>
        <w:tc>
          <w:tcPr>
            <w:tcW w:type="dxa" w:w="4320"/>
          </w:tcPr>
          <w:p>
            <w:r>
              <w:rPr>
                <w:rFonts w:ascii="Calibri" w:hAnsi="Calibri"/>
                <w:color w:val="333333"/>
                <w:sz w:val="18"/>
              </w:rPr>
              <w:t>Updated bidding thresholds and approval matrix.</w:t>
            </w:r>
          </w:p>
        </w:tc>
      </w:tr>
    </w:tbl>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66666"/>
        <w:sz w:val="16"/>
      </w:rPr>
      <w:t>Vistara Global Systems — Internal — FIN-003</w:t>
    </w:r>
    <w:r>
      <w:rPr>
        <w:rFonts w:ascii="Calibri" w:hAnsi="Calibri"/>
        <w:color w:val="666666"/>
        <w:sz w:val="16"/>
      </w:rPr>
      <w:t xml:space="preserve">    |    Page </w:t>
      <w:fldChar w:fldCharType="begin"/>
    </w:r>
    <w:r>
      <w:instrText xml:space="preserve"> PAGE </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Calibri" w:hAnsi="Calibri"/>
      <w:b/>
      <w:bCs/>
      <w:color w:val="1B3A5C"/>
      <w:sz w:val="36"/>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Calibri" w:hAnsi="Calibri"/>
      <w:b/>
      <w:bCs/>
      <w:color w:val="1B3A5C"/>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2E74B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