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Vendor Management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FIN-004</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Financial Officer (CFO)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Operating Officer (COO)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FIN-004</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Vendor Management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1.3</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Financial Officer (CFO)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Operating Officer (COO)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June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June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managing third-party relationships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December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FIN-003, FIN-005, FIN-007, SEC-012, LEGAL-001, LEGAL-002, LEGAL-006, DATA-004</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Vendor Lifecycle Management</w:t>
      </w:r>
    </w:p>
    <w:p>
      <w:pPr/>
      <w:r>
        <w:t xml:space="preserve">The vendor lifecycle consists of identification, assessment, onboarding, contracting, monitoring, performance review, and offboarding. Consistent management across this lifecycle is critical to mitigating risk. The vendor lifecycle consists of identification, assessment, onboarding, contracting, monitoring, performance review, and offboarding. Consistent management across this lifecycle is critical to mitigating risk. The vendor lifecycle consists of identification, assessment, onboarding, contracting, monitoring, performance review, and offboarding. Consistent management across this lifecycle is critical to mitigating risk. The vendor lifecycle consists of identification, assessment, onboarding, contracting, monitoring, performance review, and offboarding. Consistent management across this lifecycle is critical to mitigating risk. </w:t>
      </w:r>
    </w:p>
    <w:p>
      <w:pPr>
        <w:pStyle w:val="Heading1"/>
      </w:pPr>
      <w:r>
        <w:t>2. Vendor Classification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Tier</w:t>
            </w:r>
          </w:p>
        </w:tc>
        <w:tc>
          <w:tcPr>
            <w:tcW w:type="dxa" w:w="3120"/>
            <w:shd w:fill="1B3A5C" w:val="clear"/>
          </w:tcPr>
          <w:p>
            <w:pPr>
              <w:jc w:val="center"/>
            </w:pPr>
            <w:r>
              <w:rPr>
                <w:rFonts w:ascii="Calibri" w:hAnsi="Calibri"/>
                <w:b/>
                <w:color w:val="FFFFFF"/>
                <w:sz w:val="20"/>
              </w:rPr>
              <w:t>Criteria</w:t>
            </w:r>
          </w:p>
        </w:tc>
        <w:tc>
          <w:tcPr>
            <w:tcW w:type="dxa" w:w="3120"/>
            <w:shd w:fill="1B3A5C" w:val="clear"/>
          </w:tcPr>
          <w:p>
            <w:pPr>
              <w:jc w:val="center"/>
            </w:pPr>
            <w:r>
              <w:rPr>
                <w:rFonts w:ascii="Calibri" w:hAnsi="Calibri"/>
                <w:b/>
                <w:color w:val="FFFFFF"/>
                <w:sz w:val="20"/>
              </w:rPr>
              <w:t>Management Frequency</w:t>
            </w:r>
          </w:p>
        </w:tc>
      </w:tr>
      <w:tr>
        <w:tc>
          <w:tcPr>
            <w:tcW w:type="dxa" w:w="3120"/>
          </w:tcPr>
          <w:p>
            <w:r>
              <w:rPr>
                <w:rFonts w:ascii="Calibri" w:hAnsi="Calibri"/>
                <w:color w:val="333333"/>
                <w:sz w:val="18"/>
              </w:rPr>
              <w:t>Critical</w:t>
            </w:r>
          </w:p>
        </w:tc>
        <w:tc>
          <w:tcPr>
            <w:tcW w:type="dxa" w:w="3120"/>
          </w:tcPr>
          <w:p>
            <w:r>
              <w:rPr>
                <w:rFonts w:ascii="Calibri" w:hAnsi="Calibri"/>
                <w:color w:val="333333"/>
                <w:sz w:val="18"/>
              </w:rPr>
              <w:t>&gt;50% revenue dependency OR access to critical customer data</w:t>
            </w:r>
          </w:p>
        </w:tc>
        <w:tc>
          <w:tcPr>
            <w:tcW w:type="dxa" w:w="3120"/>
          </w:tcPr>
          <w:p>
            <w:r>
              <w:rPr>
                <w:rFonts w:ascii="Calibri" w:hAnsi="Calibri"/>
                <w:color w:val="333333"/>
                <w:sz w:val="18"/>
              </w:rPr>
              <w:t>Quarterly Reviews</w:t>
            </w:r>
          </w:p>
        </w:tc>
      </w:tr>
      <w:tr>
        <w:tc>
          <w:tcPr>
            <w:tcW w:type="dxa" w:w="3120"/>
            <w:shd w:fill="F2F6FA" w:val="clear"/>
          </w:tcPr>
          <w:p>
            <w:r>
              <w:rPr>
                <w:rFonts w:ascii="Calibri" w:hAnsi="Calibri"/>
                <w:color w:val="333333"/>
                <w:sz w:val="18"/>
              </w:rPr>
              <w:t>High</w:t>
            </w:r>
          </w:p>
        </w:tc>
        <w:tc>
          <w:tcPr>
            <w:tcW w:type="dxa" w:w="3120"/>
            <w:shd w:fill="F2F6FA" w:val="clear"/>
          </w:tcPr>
          <w:p>
            <w:r>
              <w:rPr>
                <w:rFonts w:ascii="Calibri" w:hAnsi="Calibri"/>
                <w:color w:val="333333"/>
                <w:sz w:val="18"/>
              </w:rPr>
              <w:t>Significant data access or business impact</w:t>
            </w:r>
          </w:p>
        </w:tc>
        <w:tc>
          <w:tcPr>
            <w:tcW w:type="dxa" w:w="3120"/>
            <w:shd w:fill="F2F6FA" w:val="clear"/>
          </w:tcPr>
          <w:p>
            <w:r>
              <w:rPr>
                <w:rFonts w:ascii="Calibri" w:hAnsi="Calibri"/>
                <w:color w:val="333333"/>
                <w:sz w:val="18"/>
              </w:rPr>
              <w:t>Bi-Annual Reviews</w:t>
            </w:r>
          </w:p>
        </w:tc>
      </w:tr>
      <w:tr>
        <w:tc>
          <w:tcPr>
            <w:tcW w:type="dxa" w:w="3120"/>
          </w:tcPr>
          <w:p>
            <w:r>
              <w:rPr>
                <w:rFonts w:ascii="Calibri" w:hAnsi="Calibri"/>
                <w:color w:val="333333"/>
                <w:sz w:val="18"/>
              </w:rPr>
              <w:t>Medium</w:t>
            </w:r>
          </w:p>
        </w:tc>
        <w:tc>
          <w:tcPr>
            <w:tcW w:type="dxa" w:w="3120"/>
          </w:tcPr>
          <w:p>
            <w:r>
              <w:rPr>
                <w:rFonts w:ascii="Calibri" w:hAnsi="Calibri"/>
                <w:color w:val="333333"/>
                <w:sz w:val="18"/>
              </w:rPr>
              <w:t>Standard corporate services</w:t>
            </w:r>
          </w:p>
        </w:tc>
        <w:tc>
          <w:tcPr>
            <w:tcW w:type="dxa" w:w="3120"/>
          </w:tcPr>
          <w:p>
            <w:r>
              <w:rPr>
                <w:rFonts w:ascii="Calibri" w:hAnsi="Calibri"/>
                <w:color w:val="333333"/>
                <w:sz w:val="18"/>
              </w:rPr>
              <w:t>Annual Reviews</w:t>
            </w:r>
          </w:p>
        </w:tc>
      </w:tr>
      <w:tr>
        <w:tc>
          <w:tcPr>
            <w:tcW w:type="dxa" w:w="3120"/>
            <w:shd w:fill="F2F6FA" w:val="clear"/>
          </w:tcPr>
          <w:p>
            <w:r>
              <w:rPr>
                <w:rFonts w:ascii="Calibri" w:hAnsi="Calibri"/>
                <w:color w:val="333333"/>
                <w:sz w:val="18"/>
              </w:rPr>
              <w:t>Low</w:t>
            </w:r>
          </w:p>
        </w:tc>
        <w:tc>
          <w:tcPr>
            <w:tcW w:type="dxa" w:w="3120"/>
            <w:shd w:fill="F2F6FA" w:val="clear"/>
          </w:tcPr>
          <w:p>
            <w:r>
              <w:rPr>
                <w:rFonts w:ascii="Calibri" w:hAnsi="Calibri"/>
                <w:color w:val="333333"/>
                <w:sz w:val="18"/>
              </w:rPr>
              <w:t>Minimal impact, off-the-shelf goods</w:t>
            </w:r>
          </w:p>
        </w:tc>
        <w:tc>
          <w:tcPr>
            <w:tcW w:type="dxa" w:w="3120"/>
            <w:shd w:fill="F2F6FA" w:val="clear"/>
          </w:tcPr>
          <w:p>
            <w:r>
              <w:rPr>
                <w:rFonts w:ascii="Calibri" w:hAnsi="Calibri"/>
                <w:color w:val="333333"/>
                <w:sz w:val="18"/>
              </w:rPr>
              <w:t>Ad-hoc</w:t>
            </w:r>
          </w:p>
        </w:tc>
      </w:tr>
    </w:tbl>
    <w:p/>
    <w:p>
      <w:pPr>
        <w:pStyle w:val="Heading1"/>
      </w:pPr>
      <w:r>
        <w:t>3. Onboarding and Due Diligence</w:t>
      </w:r>
    </w:p>
    <w:p>
      <w:pPr/>
      <w:r>
        <w:t>The Vendor Onboarding Checklist includes:</w:t>
      </w:r>
    </w:p>
    <w:p>
      <w:pPr>
        <w:pStyle w:val="ListBullet"/>
      </w:pPr>
      <w:r>
        <w:t>Business Registration and Tax Identification.</w:t>
      </w:r>
    </w:p>
    <w:p>
      <w:pPr>
        <w:pStyle w:val="ListBullet"/>
      </w:pPr>
      <w:r>
        <w:t>Financial Stability Review.</w:t>
      </w:r>
    </w:p>
    <w:p>
      <w:pPr>
        <w:pStyle w:val="ListBullet"/>
      </w:pPr>
      <w:r>
        <w:t>Security Assessment (per SEC-012).</w:t>
      </w:r>
    </w:p>
    <w:p>
      <w:pPr>
        <w:pStyle w:val="ListBullet"/>
      </w:pPr>
      <w:r>
        <w:t>Signed NDA (per LEGAL-006) and Data Processing Agreement (for data vendors per DATA-001).</w:t>
      </w:r>
    </w:p>
    <w:p>
      <w:pPr>
        <w:pStyle w:val="ListBullet"/>
      </w:pPr>
      <w:r>
        <w:t>Conflict of Interest Disclosure (per LEGAL-002).</w:t>
      </w:r>
    </w:p>
    <w:p>
      <w:pPr>
        <w:pStyle w:val="Heading1"/>
      </w:pPr>
      <w:r>
        <w:t>4. Contracting and Payment Terms</w:t>
      </w:r>
    </w:p>
    <w:p>
      <w:pPr/>
      <w:r>
        <w:t>Standard payment terms are Net 30 for small-to-medium vendors and Net 45 for large enterprise contracts. All contracts must include specific clauses for liability, indemnification, and termination.</w:t>
      </w:r>
    </w:p>
    <w:p>
      <w:pPr>
        <w:pStyle w:val="Heading1"/>
      </w:pPr>
      <w:r>
        <w:t>5. Compliance, Audits, and Offboarding</w:t>
      </w:r>
    </w:p>
    <w:p>
      <w:pPr/>
      <w:r>
        <w:t xml:space="preserve">Vistara Global Systems reserves the right to audit critical and high-tier vendors. Offboarding requires stringent access revocation (SEC-012), data destruction/return, and knowledge transfer sign-off. Vistara Global Systems reserves the right to audit critical and high-tier vendors. Offboarding requires stringent access revocation (SEC-012), data destruction/return, and knowledge transfer sign-off. Vistara Global Systems reserves the right to audit critical and high-tier vendors. Offboarding requires stringent access revocation (SEC-012), data destruction/return, and knowledge transfer sign-off. </w:t>
      </w:r>
    </w:p>
    <w:p>
      <w:r>
        <w:rPr>
          <w:rFonts w:ascii="Calibri" w:hAnsi="Calibri"/>
          <w:b/>
          <w:color w:val="1B3A5C"/>
          <w:sz w:val="22"/>
        </w:rPr>
        <w:t>Q: What happens if a vendor refuses our standard Net 30 terms (FAQ 1)?</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2)?</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3)?</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4)?</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5)?</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6)?</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7)?</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8)?</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9)?</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10)?</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11)?</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12)?</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13)?</w:t>
      </w:r>
    </w:p>
    <w:p>
      <w:pPr>
        <w:spacing w:after="240"/>
      </w:pPr>
      <w:r>
        <w:rPr>
          <w:rFonts w:ascii="Calibri" w:hAnsi="Calibri"/>
          <w:color w:val="333333"/>
          <w:sz w:val="22"/>
        </w:rPr>
        <w:t>A: Exceptions require approval from the Finance Controller. Advance payments are generally prohibited without Bank Guarantees.</w:t>
      </w:r>
    </w:p>
    <w:p>
      <w:r>
        <w:rPr>
          <w:rFonts w:ascii="Calibri" w:hAnsi="Calibri"/>
          <w:b/>
          <w:color w:val="1B3A5C"/>
          <w:sz w:val="22"/>
        </w:rPr>
        <w:t>Q: What happens if a vendor refuses our standard Net 30 terms (FAQ 14)?</w:t>
      </w:r>
    </w:p>
    <w:p>
      <w:pPr>
        <w:spacing w:after="240"/>
      </w:pPr>
      <w:r>
        <w:rPr>
          <w:rFonts w:ascii="Calibri" w:hAnsi="Calibri"/>
          <w:color w:val="333333"/>
          <w:sz w:val="22"/>
        </w:rPr>
        <w:t>A: Exceptions require approval from the Finance Controller. Advance payments are generally prohibited without Bank Guarantees.</w:t>
      </w:r>
    </w:p>
    <w:p>
      <w:pPr>
        <w:pStyle w:val="Heading3"/>
      </w:pPr>
      <w:r>
        <w:t>Scenario 1: Vendor Offboarding</w:t>
      </w:r>
    </w:p>
    <w:p>
      <w:r>
        <w:rPr>
          <w:b/>
          <w:color w:val="1B3A5C"/>
        </w:rPr>
        <w:t xml:space="preserve">Situation: </w:t>
      </w:r>
      <w:r>
        <w:t>A high-tier IT service provider contract is terminating.</w:t>
      </w:r>
    </w:p>
    <w:p>
      <w:r>
        <w:rPr>
          <w:b/>
          <w:color w:val="1B3A5C"/>
        </w:rPr>
        <w:t xml:space="preserve">Relevant Requirements: </w:t>
      </w:r>
      <w:r>
        <w:t>Must follow SEC-012 for access revocation.</w:t>
      </w:r>
    </w:p>
    <w:p>
      <w:r>
        <w:rPr>
          <w:b/>
          <w:color w:val="1B3A5C"/>
        </w:rPr>
        <w:t xml:space="preserve">Expected Process: </w:t>
      </w:r>
      <w:r>
        <w:t>IT and Legal to ensure data destruction certificate is obtained.</w:t>
      </w:r>
    </w:p>
    <w:p>
      <w:r>
        <w:rPr>
          <w:b/>
          <w:color w:val="1B3A5C"/>
        </w:rPr>
        <w:t xml:space="preserve">Outcome: </w:t>
      </w:r>
      <w:r>
        <w:t>Vendor successfully offboarded.</w:t>
      </w:r>
    </w:p>
    <w:p/>
    <w:p>
      <w:pPr>
        <w:pStyle w:val="Heading3"/>
      </w:pPr>
      <w:r>
        <w:t>Scenario 2: Vendor Offboarding</w:t>
      </w:r>
    </w:p>
    <w:p>
      <w:r>
        <w:rPr>
          <w:b/>
          <w:color w:val="1B3A5C"/>
        </w:rPr>
        <w:t xml:space="preserve">Situation: </w:t>
      </w:r>
      <w:r>
        <w:t>A high-tier IT service provider contract is terminating.</w:t>
      </w:r>
    </w:p>
    <w:p>
      <w:r>
        <w:rPr>
          <w:b/>
          <w:color w:val="1B3A5C"/>
        </w:rPr>
        <w:t xml:space="preserve">Relevant Requirements: </w:t>
      </w:r>
      <w:r>
        <w:t>Must follow SEC-012 for access revocation.</w:t>
      </w:r>
    </w:p>
    <w:p>
      <w:r>
        <w:rPr>
          <w:b/>
          <w:color w:val="1B3A5C"/>
        </w:rPr>
        <w:t xml:space="preserve">Expected Process: </w:t>
      </w:r>
      <w:r>
        <w:t>IT and Legal to ensure data destruction certificate is obtained.</w:t>
      </w:r>
    </w:p>
    <w:p>
      <w:r>
        <w:rPr>
          <w:b/>
          <w:color w:val="1B3A5C"/>
        </w:rPr>
        <w:t xml:space="preserve">Outcome: </w:t>
      </w:r>
      <w:r>
        <w:t>Vendor successfully offboarded.</w:t>
      </w:r>
    </w:p>
    <w:p/>
    <w:p>
      <w:pPr>
        <w:pStyle w:val="Heading3"/>
      </w:pPr>
      <w:r>
        <w:t>Scenario 3: Vendor Offboarding</w:t>
      </w:r>
    </w:p>
    <w:p>
      <w:r>
        <w:rPr>
          <w:b/>
          <w:color w:val="1B3A5C"/>
        </w:rPr>
        <w:t xml:space="preserve">Situation: </w:t>
      </w:r>
      <w:r>
        <w:t>A high-tier IT service provider contract is terminating.</w:t>
      </w:r>
    </w:p>
    <w:p>
      <w:r>
        <w:rPr>
          <w:b/>
          <w:color w:val="1B3A5C"/>
        </w:rPr>
        <w:t xml:space="preserve">Relevant Requirements: </w:t>
      </w:r>
      <w:r>
        <w:t>Must follow SEC-012 for access revocation.</w:t>
      </w:r>
    </w:p>
    <w:p>
      <w:r>
        <w:rPr>
          <w:b/>
          <w:color w:val="1B3A5C"/>
        </w:rPr>
        <w:t xml:space="preserve">Expected Process: </w:t>
      </w:r>
      <w:r>
        <w:t>IT and Legal to ensure data destruction certificate is obtained.</w:t>
      </w:r>
    </w:p>
    <w:p>
      <w:r>
        <w:rPr>
          <w:b/>
          <w:color w:val="1B3A5C"/>
        </w:rPr>
        <w:t xml:space="preserve">Outcome: </w:t>
      </w:r>
      <w:r>
        <w:t>Vendor successfully offboarded.</w:t>
      </w:r>
    </w:p>
    <w:p/>
    <w:p>
      <w:pPr>
        <w:pStyle w:val="Heading3"/>
      </w:pPr>
      <w:r>
        <w:t>Scenario 4: Vendor Offboarding</w:t>
      </w:r>
    </w:p>
    <w:p>
      <w:r>
        <w:rPr>
          <w:b/>
          <w:color w:val="1B3A5C"/>
        </w:rPr>
        <w:t xml:space="preserve">Situation: </w:t>
      </w:r>
      <w:r>
        <w:t>A high-tier IT service provider contract is terminating.</w:t>
      </w:r>
    </w:p>
    <w:p>
      <w:r>
        <w:rPr>
          <w:b/>
          <w:color w:val="1B3A5C"/>
        </w:rPr>
        <w:t xml:space="preserve">Relevant Requirements: </w:t>
      </w:r>
      <w:r>
        <w:t>Must follow SEC-012 for access revocation.</w:t>
      </w:r>
    </w:p>
    <w:p>
      <w:r>
        <w:rPr>
          <w:b/>
          <w:color w:val="1B3A5C"/>
        </w:rPr>
        <w:t xml:space="preserve">Expected Process: </w:t>
      </w:r>
      <w:r>
        <w:t>IT and Legal to ensure data destruction certificate is obtained.</w:t>
      </w:r>
    </w:p>
    <w:p>
      <w:r>
        <w:rPr>
          <w:b/>
          <w:color w:val="1B3A5C"/>
        </w:rPr>
        <w:t xml:space="preserve">Outcome: </w:t>
      </w:r>
      <w:r>
        <w:t>Vendor successfully offboarded.</w:t>
      </w:r>
    </w:p>
    <w:p/>
    <w:p>
      <w:pPr>
        <w:pStyle w:val="Heading3"/>
      </w:pPr>
      <w:r>
        <w:t>Scenario 5: Vendor Offboarding</w:t>
      </w:r>
    </w:p>
    <w:p>
      <w:r>
        <w:rPr>
          <w:b/>
          <w:color w:val="1B3A5C"/>
        </w:rPr>
        <w:t xml:space="preserve">Situation: </w:t>
      </w:r>
      <w:r>
        <w:t>A high-tier IT service provider contract is terminating.</w:t>
      </w:r>
    </w:p>
    <w:p>
      <w:r>
        <w:rPr>
          <w:b/>
          <w:color w:val="1B3A5C"/>
        </w:rPr>
        <w:t xml:space="preserve">Relevant Requirements: </w:t>
      </w:r>
      <w:r>
        <w:t>Must follow SEC-012 for access revocation.</w:t>
      </w:r>
    </w:p>
    <w:p>
      <w:r>
        <w:rPr>
          <w:b/>
          <w:color w:val="1B3A5C"/>
        </w:rPr>
        <w:t xml:space="preserve">Expected Process: </w:t>
      </w:r>
      <w:r>
        <w:t>IT and Legal to ensure data destruction certificate is obtained.</w:t>
      </w:r>
    </w:p>
    <w:p>
      <w:r>
        <w:rPr>
          <w:b/>
          <w:color w:val="1B3A5C"/>
        </w:rPr>
        <w:t xml:space="preserve">Outcome: </w:t>
      </w:r>
      <w:r>
        <w:t>Vendor successfully offboarded.</w:t>
      </w:r>
    </w:p>
    <w:p/>
    <w:p>
      <w:pPr>
        <w:pStyle w:val="Heading3"/>
      </w:pPr>
      <w:r>
        <w:t>Scenario 6: Vendor Offboarding</w:t>
      </w:r>
    </w:p>
    <w:p>
      <w:r>
        <w:rPr>
          <w:b/>
          <w:color w:val="1B3A5C"/>
        </w:rPr>
        <w:t xml:space="preserve">Situation: </w:t>
      </w:r>
      <w:r>
        <w:t>A high-tier IT service provider contract is terminating.</w:t>
      </w:r>
    </w:p>
    <w:p>
      <w:r>
        <w:rPr>
          <w:b/>
          <w:color w:val="1B3A5C"/>
        </w:rPr>
        <w:t xml:space="preserve">Relevant Requirements: </w:t>
      </w:r>
      <w:r>
        <w:t>Must follow SEC-012 for access revocation.</w:t>
      </w:r>
    </w:p>
    <w:p>
      <w:r>
        <w:rPr>
          <w:b/>
          <w:color w:val="1B3A5C"/>
        </w:rPr>
        <w:t xml:space="preserve">Expected Process: </w:t>
      </w:r>
      <w:r>
        <w:t>IT and Legal to ensure data destruction certificate is obtained.</w:t>
      </w:r>
    </w:p>
    <w:p>
      <w:r>
        <w:rPr>
          <w:b/>
          <w:color w:val="1B3A5C"/>
        </w:rPr>
        <w:t xml:space="preserve">Outcome: </w:t>
      </w:r>
      <w:r>
        <w:t>Vendor successfully offboarded.</w:t>
      </w:r>
    </w:p>
    <w:p/>
    <w:p>
      <w:pPr>
        <w:pStyle w:val="Heading3"/>
      </w:pPr>
      <w:r>
        <w:t>Scenario 7: Vendor Offboarding</w:t>
      </w:r>
    </w:p>
    <w:p>
      <w:r>
        <w:rPr>
          <w:b/>
          <w:color w:val="1B3A5C"/>
        </w:rPr>
        <w:t xml:space="preserve">Situation: </w:t>
      </w:r>
      <w:r>
        <w:t>A high-tier IT service provider contract is terminating.</w:t>
      </w:r>
    </w:p>
    <w:p>
      <w:r>
        <w:rPr>
          <w:b/>
          <w:color w:val="1B3A5C"/>
        </w:rPr>
        <w:t xml:space="preserve">Relevant Requirements: </w:t>
      </w:r>
      <w:r>
        <w:t>Must follow SEC-012 for access revocation.</w:t>
      </w:r>
    </w:p>
    <w:p>
      <w:r>
        <w:rPr>
          <w:b/>
          <w:color w:val="1B3A5C"/>
        </w:rPr>
        <w:t xml:space="preserve">Expected Process: </w:t>
      </w:r>
      <w:r>
        <w:t>IT and Legal to ensure data destruction certificate is obtained.</w:t>
      </w:r>
    </w:p>
    <w:p>
      <w:r>
        <w:rPr>
          <w:b/>
          <w:color w:val="1B3A5C"/>
        </w:rPr>
        <w:t xml:space="preserve">Outcome: </w:t>
      </w:r>
      <w:r>
        <w:t>Vendor successfully offboarded.</w:t>
      </w:r>
    </w:p>
    <w:p/>
    <w:p>
      <w:pPr>
        <w:pStyle w:val="Heading3"/>
      </w:pPr>
      <w:r>
        <w:t>Scenario 8: Vendor Offboarding</w:t>
      </w:r>
    </w:p>
    <w:p>
      <w:r>
        <w:rPr>
          <w:b/>
          <w:color w:val="1B3A5C"/>
        </w:rPr>
        <w:t xml:space="preserve">Situation: </w:t>
      </w:r>
      <w:r>
        <w:t>A high-tier IT service provider contract is terminating.</w:t>
      </w:r>
    </w:p>
    <w:p>
      <w:r>
        <w:rPr>
          <w:b/>
          <w:color w:val="1B3A5C"/>
        </w:rPr>
        <w:t xml:space="preserve">Relevant Requirements: </w:t>
      </w:r>
      <w:r>
        <w:t>Must follow SEC-012 for access revocation.</w:t>
      </w:r>
    </w:p>
    <w:p>
      <w:r>
        <w:rPr>
          <w:b/>
          <w:color w:val="1B3A5C"/>
        </w:rPr>
        <w:t xml:space="preserve">Expected Process: </w:t>
      </w:r>
      <w:r>
        <w:t>IT and Legal to ensure data destruction certificate is obtained.</w:t>
      </w:r>
    </w:p>
    <w:p>
      <w:r>
        <w:rPr>
          <w:b/>
          <w:color w:val="1B3A5C"/>
        </w:rPr>
        <w:t xml:space="preserve">Outcome: </w:t>
      </w:r>
      <w:r>
        <w:t>Vendor successfully offboarded.</w:t>
      </w:r>
    </w:p>
    <w:p/>
    <w:p>
      <w:pPr>
        <w:pStyle w:val="Heading3"/>
      </w:pPr>
      <w:r>
        <w:t>Scenario 9: Vendor Offboarding</w:t>
      </w:r>
    </w:p>
    <w:p>
      <w:r>
        <w:rPr>
          <w:b/>
          <w:color w:val="1B3A5C"/>
        </w:rPr>
        <w:t xml:space="preserve">Situation: </w:t>
      </w:r>
      <w:r>
        <w:t>A high-tier IT service provider contract is terminating.</w:t>
      </w:r>
    </w:p>
    <w:p>
      <w:r>
        <w:rPr>
          <w:b/>
          <w:color w:val="1B3A5C"/>
        </w:rPr>
        <w:t xml:space="preserve">Relevant Requirements: </w:t>
      </w:r>
      <w:r>
        <w:t>Must follow SEC-012 for access revocation.</w:t>
      </w:r>
    </w:p>
    <w:p>
      <w:r>
        <w:rPr>
          <w:b/>
          <w:color w:val="1B3A5C"/>
        </w:rPr>
        <w:t xml:space="preserve">Expected Process: </w:t>
      </w:r>
      <w:r>
        <w:t>IT and Legal to ensure data destruction certificate is obtained.</w:t>
      </w:r>
    </w:p>
    <w:p>
      <w:r>
        <w:rPr>
          <w:b/>
          <w:color w:val="1B3A5C"/>
        </w:rPr>
        <w:t xml:space="preserve">Outcome: </w:t>
      </w:r>
      <w:r>
        <w:t>Vendor successfully offboarded.</w:t>
      </w:r>
    </w:p>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1.3</w:t>
            </w:r>
          </w:p>
        </w:tc>
        <w:tc>
          <w:tcPr>
            <w:tcW w:type="dxa" w:w="1872"/>
          </w:tcPr>
          <w:p>
            <w:r>
              <w:rPr>
                <w:rFonts w:ascii="Calibri" w:hAnsi="Calibri"/>
                <w:color w:val="333333"/>
                <w:sz w:val="18"/>
              </w:rPr>
              <w:t>01 June 2026</w:t>
            </w:r>
          </w:p>
        </w:tc>
        <w:tc>
          <w:tcPr>
            <w:tcW w:type="dxa" w:w="2160"/>
          </w:tcPr>
          <w:p>
            <w:r>
              <w:rPr>
                <w:rFonts w:ascii="Calibri" w:hAnsi="Calibri"/>
                <w:color w:val="333333"/>
                <w:sz w:val="18"/>
              </w:rPr>
              <w:t>Vendor Risk Management</w:t>
            </w:r>
          </w:p>
        </w:tc>
        <w:tc>
          <w:tcPr>
            <w:tcW w:type="dxa" w:w="4320"/>
          </w:tcPr>
          <w:p>
            <w:r>
              <w:rPr>
                <w:rFonts w:ascii="Calibri" w:hAnsi="Calibri"/>
                <w:color w:val="333333"/>
                <w:sz w:val="18"/>
              </w:rPr>
              <w:t>Updated vendor classification definitions and data privacy requirements.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FIN-004</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