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Purchase Approval and Delegation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FIN-005</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Finance</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February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February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FIN-005</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Purchase Approval and Delegation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Finance</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CFO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February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February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involved in procurement or committing company funds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August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FIN-001, FIN-003, FIN-006, FIN-007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The purpose of this Purchase Approval and Delegation Policy is to establish a comprehensive framework for authorizing financial commitments, procurement of goods and services, and expenditure across Vistara Global Systems Pvt. Ltd. (hereinafter referred to as 'Vistara' or the 'Company'). This policy ensures that all corporate spending is strictly aligned with approved budgets, strategic objectives, and stringent financial controls.</w:t>
      </w:r>
    </w:p>
    <w:p>
      <w:pPr/>
      <w:r>
        <w:t>This policy aims to mitigate financial risk, prevent unauthorized spending, optimize resource allocation, and ensure compliance with internal governance standards and external regulatory requirements. It is imperative that all personnel understand their authority limits and adhere to the stipulated guidelines before committing company funds.</w:t>
      </w:r>
    </w:p>
    <w:p>
      <w:pPr/>
      <w:r>
        <w:t>This policy aims to mitigate financial risk, prevent unauthorized spending, optimize resource allocation, and ensure compliance with internal governance standards and external regulatory requirements. It is imperative that all personnel understand their authority limits and adhere to the stipulated guidelines before committing company funds.</w:t>
      </w:r>
    </w:p>
    <w:p>
      <w:pPr/>
      <w:r>
        <w:t>This policy aims to mitigate financial risk, prevent unauthorized spending, optimize resource allocation, and ensure compliance with internal governance standards and external regulatory requirements. It is imperative that all personnel understand their authority limits and adhere to the stipulated guidelines before committing company funds.</w:t>
      </w:r>
    </w:p>
    <w:p>
      <w:pPr/>
      <w:r>
        <w:t>This policy aims to mitigate financial risk, prevent unauthorized spending, optimize resource allocation, and ensure compliance with internal governance standards and external regulatory requirements. It is imperative that all personnel understand their authority limits and adhere to the stipulated guidelines before committing company funds.</w:t>
      </w:r>
    </w:p>
    <w:p>
      <w:pPr/>
      <w:r>
        <w:t>This policy aims to mitigate financial risk, prevent unauthorized spending, optimize resource allocation, and ensure compliance with internal governance standards and external regulatory requirements. It is imperative that all personnel understand their authority limits and adhere to the stipulated guidelines before committing company funds.</w:t>
      </w:r>
    </w:p>
    <w:p>
      <w:pPr>
        <w:pStyle w:val="Heading1"/>
      </w:pPr>
      <w:r>
        <w:t>2. Delegation of Authority Framework</w:t>
      </w:r>
    </w:p>
    <w:p>
      <w:pPr/>
      <w:r>
        <w:t>The Delegation of Authority (DoA) framework at Vistara is designed to empower management at various levels to make operational and financial decisions efficiently while maintaining appropriate executive oversight. The Board of Directors delegates overall management authority to the Chief Executive Officer (CEO), who in turn delegates specific operational authorities to the executive leadership team and subsequent management tiers.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r>
        <w:t>Any delegation of authority under this framework is strictly tied to the individual's role and positional hierarchy, not the individual personally. Should an individual change roles within the company, their authorization limits will be automatically adjusted to reflect the new role's prescribed limits.</w:t>
      </w:r>
    </w:p>
    <w:p>
      <w:pPr>
        <w:pStyle w:val="Heading2"/>
      </w:pPr>
      <w:r>
        <w:t>2.1 Approval Hierarchy</w:t>
      </w:r>
    </w:p>
    <w:p>
      <w:pPr/>
      <w:r>
        <w:t>The standard approval hierarchy for all financial commitments follows a sequential escalation path based on the value and nature of the transaction:</w:t>
      </w:r>
    </w:p>
    <w:p>
      <w:pPr>
        <w:pStyle w:val="ListNumber"/>
      </w:pPr>
      <w:r>
        <w:t>Employee: Initiates the purchase request with appropriate justification.</w:t>
      </w:r>
    </w:p>
    <w:p>
      <w:pPr>
        <w:pStyle w:val="ListNumber"/>
      </w:pPr>
      <w:r>
        <w:t>Manager: Reviews business need, budget availability, and initial compliance.</w:t>
      </w:r>
    </w:p>
    <w:p>
      <w:pPr>
        <w:pStyle w:val="ListNumber"/>
      </w:pPr>
      <w:r>
        <w:t>Department Head: Assesses strategic alignment and department-level budget impact.</w:t>
      </w:r>
    </w:p>
    <w:p>
      <w:pPr>
        <w:pStyle w:val="ListNumber"/>
      </w:pPr>
      <w:r>
        <w:t>Vice President (VP): Evaluates cross-functional implications and major budget allocations.</w:t>
      </w:r>
    </w:p>
    <w:p>
      <w:pPr>
        <w:pStyle w:val="ListNumber"/>
      </w:pPr>
      <w:r>
        <w:t>Chief Financial Officer (CFO): Provides executive financial oversight and ensures compliance with overall financial strategy.</w:t>
      </w:r>
    </w:p>
    <w:p>
      <w:pPr>
        <w:pStyle w:val="ListNumber"/>
      </w:pPr>
      <w:r>
        <w:t>Chief Executive Officer (CEO): Final approver for major strategic investments and expenditures.</w:t>
      </w:r>
    </w:p>
    <w:p>
      <w:pPr>
        <w:pStyle w:val="ListNumber"/>
      </w:pPr>
      <w:r>
        <w:t>Board of Directors: Required for transformative investments, M&amp;A activities, and expenditures exceeding CEO limits.</w:t>
      </w:r>
    </w:p>
    <w:p>
      <w:pPr/>
      <w:r>
        <w:t>Approvals must be obtained sequentially. Under no circumstances may lower-level approvals be bypassed unless specifically authorized under the Temporary Delegation provisions or Emergency Procurement protocols detailed later in this document.</w:t>
      </w:r>
    </w:p>
    <w:p>
      <w:pPr/>
      <w:r>
        <w:t>Approvals must be obtained sequentially. Under no circumstances may lower-level approvals be bypassed unless specifically authorized under the Temporary Delegation provisions or Emergency Procurement protocols detailed later in this document.</w:t>
      </w:r>
    </w:p>
    <w:p>
      <w:pPr/>
      <w:r>
        <w:t>Approvals must be obtained sequentially. Under no circumstances may lower-level approvals be bypassed unless specifically authorized under the Temporary Delegation provisions or Emergency Procurement protocols detailed later in this document.</w:t>
      </w:r>
    </w:p>
    <w:p>
      <w:pPr/>
      <w:r>
        <w:t>Approvals must be obtained sequentially. Under no circumstances may lower-level approvals be bypassed unless specifically authorized under the Temporary Delegation provisions or Emergency Procurement protocols detailed later in this document.</w:t>
      </w:r>
    </w:p>
    <w:p>
      <w:pPr/>
      <w:r>
        <w:t>Approvals must be obtained sequentially. Under no circumstances may lower-level approvals be bypassed unless specifically authorized under the Temporary Delegation provisions or Emergency Procurement protocols detailed later in this document.</w:t>
      </w:r>
    </w:p>
    <w:p>
      <w:pPr>
        <w:pStyle w:val="Heading1"/>
      </w:pPr>
      <w:r>
        <w:t>3. Approval Matrix by Amount</w:t>
      </w:r>
    </w:p>
    <w:p>
      <w:pPr/>
      <w:r>
        <w:t>The following table details the maximum authorization limits for operational expenditure (OpEx) and capital expenditure (CapEx) commitments. All amounts are in Indian Rupees (INR) and are exclusive of applicable taxes (e.g., GST).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Authority Level</w:t>
            </w:r>
          </w:p>
        </w:tc>
        <w:tc>
          <w:tcPr>
            <w:tcW w:type="dxa" w:w="2340"/>
            <w:shd w:fill="1B3A5C" w:val="clear"/>
          </w:tcPr>
          <w:p>
            <w:pPr>
              <w:jc w:val="center"/>
            </w:pPr>
            <w:r>
              <w:rPr>
                <w:rFonts w:ascii="Calibri" w:hAnsi="Calibri"/>
                <w:b/>
                <w:color w:val="FFFFFF"/>
                <w:sz w:val="20"/>
              </w:rPr>
              <w:t>Minimum Threshold (INR)</w:t>
            </w:r>
          </w:p>
        </w:tc>
        <w:tc>
          <w:tcPr>
            <w:tcW w:type="dxa" w:w="2340"/>
            <w:shd w:fill="1B3A5C" w:val="clear"/>
          </w:tcPr>
          <w:p>
            <w:pPr>
              <w:jc w:val="center"/>
            </w:pPr>
            <w:r>
              <w:rPr>
                <w:rFonts w:ascii="Calibri" w:hAnsi="Calibri"/>
                <w:b/>
                <w:color w:val="FFFFFF"/>
                <w:sz w:val="20"/>
              </w:rPr>
              <w:t>Maximum Threshold (INR)</w:t>
            </w:r>
          </w:p>
        </w:tc>
        <w:tc>
          <w:tcPr>
            <w:tcW w:type="dxa" w:w="2340"/>
            <w:shd w:fill="1B3A5C" w:val="clear"/>
          </w:tcPr>
          <w:p>
            <w:pPr>
              <w:jc w:val="center"/>
            </w:pPr>
            <w:r>
              <w:rPr>
                <w:rFonts w:ascii="Calibri" w:hAnsi="Calibri"/>
                <w:b/>
                <w:color w:val="FFFFFF"/>
                <w:sz w:val="20"/>
              </w:rPr>
              <w:t>Additional Requirements</w:t>
            </w:r>
          </w:p>
        </w:tc>
      </w:tr>
      <w:tr>
        <w:tc>
          <w:tcPr>
            <w:tcW w:type="dxa" w:w="2340"/>
          </w:tcPr>
          <w:p>
            <w:r>
              <w:rPr>
                <w:rFonts w:ascii="Calibri" w:hAnsi="Calibri"/>
                <w:color w:val="333333"/>
                <w:sz w:val="18"/>
              </w:rPr>
              <w:t>Manager</w:t>
            </w:r>
          </w:p>
        </w:tc>
        <w:tc>
          <w:tcPr>
            <w:tcW w:type="dxa" w:w="2340"/>
          </w:tcPr>
          <w:p>
            <w:r>
              <w:rPr>
                <w:rFonts w:ascii="Calibri" w:hAnsi="Calibri"/>
                <w:color w:val="333333"/>
                <w:sz w:val="18"/>
              </w:rPr>
              <w:t>0</w:t>
            </w:r>
          </w:p>
        </w:tc>
        <w:tc>
          <w:tcPr>
            <w:tcW w:type="dxa" w:w="2340"/>
          </w:tcPr>
          <w:p>
            <w:r>
              <w:rPr>
                <w:rFonts w:ascii="Calibri" w:hAnsi="Calibri"/>
                <w:color w:val="333333"/>
                <w:sz w:val="18"/>
              </w:rPr>
              <w:t>25,000</w:t>
            </w:r>
          </w:p>
        </w:tc>
        <w:tc>
          <w:tcPr>
            <w:tcW w:type="dxa" w:w="2340"/>
          </w:tcPr>
          <w:p>
            <w:r>
              <w:rPr>
                <w:rFonts w:ascii="Calibri" w:hAnsi="Calibri"/>
                <w:color w:val="333333"/>
                <w:sz w:val="18"/>
              </w:rPr>
              <w:t>Must be within approved departmental budget</w:t>
            </w:r>
          </w:p>
        </w:tc>
      </w:tr>
      <w:tr>
        <w:tc>
          <w:tcPr>
            <w:tcW w:type="dxa" w:w="2340"/>
            <w:shd w:fill="F2F6FA" w:val="clear"/>
          </w:tcPr>
          <w:p>
            <w:r>
              <w:rPr>
                <w:rFonts w:ascii="Calibri" w:hAnsi="Calibri"/>
                <w:color w:val="333333"/>
                <w:sz w:val="18"/>
              </w:rPr>
              <w:t>Department Head</w:t>
            </w:r>
          </w:p>
        </w:tc>
        <w:tc>
          <w:tcPr>
            <w:tcW w:type="dxa" w:w="2340"/>
            <w:shd w:fill="F2F6FA" w:val="clear"/>
          </w:tcPr>
          <w:p>
            <w:r>
              <w:rPr>
                <w:rFonts w:ascii="Calibri" w:hAnsi="Calibri"/>
                <w:color w:val="333333"/>
                <w:sz w:val="18"/>
              </w:rPr>
              <w:t>25,001</w:t>
            </w:r>
          </w:p>
        </w:tc>
        <w:tc>
          <w:tcPr>
            <w:tcW w:type="dxa" w:w="2340"/>
            <w:shd w:fill="F2F6FA" w:val="clear"/>
          </w:tcPr>
          <w:p>
            <w:r>
              <w:rPr>
                <w:rFonts w:ascii="Calibri" w:hAnsi="Calibri"/>
                <w:color w:val="333333"/>
                <w:sz w:val="18"/>
              </w:rPr>
              <w:t>2,00,000</w:t>
            </w:r>
          </w:p>
        </w:tc>
        <w:tc>
          <w:tcPr>
            <w:tcW w:type="dxa" w:w="2340"/>
            <w:shd w:fill="F2F6FA" w:val="clear"/>
          </w:tcPr>
          <w:p>
            <w:r>
              <w:rPr>
                <w:rFonts w:ascii="Calibri" w:hAnsi="Calibri"/>
                <w:color w:val="333333"/>
                <w:sz w:val="18"/>
              </w:rPr>
              <w:t>Requires Manager pre-approval</w:t>
            </w:r>
          </w:p>
        </w:tc>
      </w:tr>
      <w:tr>
        <w:tc>
          <w:tcPr>
            <w:tcW w:type="dxa" w:w="2340"/>
          </w:tcPr>
          <w:p>
            <w:r>
              <w:rPr>
                <w:rFonts w:ascii="Calibri" w:hAnsi="Calibri"/>
                <w:color w:val="333333"/>
                <w:sz w:val="18"/>
              </w:rPr>
              <w:t>Vice President (VP)</w:t>
            </w:r>
          </w:p>
        </w:tc>
        <w:tc>
          <w:tcPr>
            <w:tcW w:type="dxa" w:w="2340"/>
          </w:tcPr>
          <w:p>
            <w:r>
              <w:rPr>
                <w:rFonts w:ascii="Calibri" w:hAnsi="Calibri"/>
                <w:color w:val="333333"/>
                <w:sz w:val="18"/>
              </w:rPr>
              <w:t>2,00,001</w:t>
            </w:r>
          </w:p>
        </w:tc>
        <w:tc>
          <w:tcPr>
            <w:tcW w:type="dxa" w:w="2340"/>
          </w:tcPr>
          <w:p>
            <w:r>
              <w:rPr>
                <w:rFonts w:ascii="Calibri" w:hAnsi="Calibri"/>
                <w:color w:val="333333"/>
                <w:sz w:val="18"/>
              </w:rPr>
              <w:t>10,00,000</w:t>
            </w:r>
          </w:p>
        </w:tc>
        <w:tc>
          <w:tcPr>
            <w:tcW w:type="dxa" w:w="2340"/>
          </w:tcPr>
          <w:p>
            <w:r>
              <w:rPr>
                <w:rFonts w:ascii="Calibri" w:hAnsi="Calibri"/>
                <w:color w:val="333333"/>
                <w:sz w:val="18"/>
              </w:rPr>
              <w:t>Requires IT/Admin review if applicable</w:t>
            </w:r>
          </w:p>
        </w:tc>
      </w:tr>
      <w:tr>
        <w:tc>
          <w:tcPr>
            <w:tcW w:type="dxa" w:w="2340"/>
            <w:shd w:fill="F2F6FA" w:val="clear"/>
          </w:tcPr>
          <w:p>
            <w:r>
              <w:rPr>
                <w:rFonts w:ascii="Calibri" w:hAnsi="Calibri"/>
                <w:color w:val="333333"/>
                <w:sz w:val="18"/>
              </w:rPr>
              <w:t>Chief Financial Officer</w:t>
            </w:r>
          </w:p>
        </w:tc>
        <w:tc>
          <w:tcPr>
            <w:tcW w:type="dxa" w:w="2340"/>
            <w:shd w:fill="F2F6FA" w:val="clear"/>
          </w:tcPr>
          <w:p>
            <w:r>
              <w:rPr>
                <w:rFonts w:ascii="Calibri" w:hAnsi="Calibri"/>
                <w:color w:val="333333"/>
                <w:sz w:val="18"/>
              </w:rPr>
              <w:t>10,00,001</w:t>
            </w:r>
          </w:p>
        </w:tc>
        <w:tc>
          <w:tcPr>
            <w:tcW w:type="dxa" w:w="2340"/>
            <w:shd w:fill="F2F6FA" w:val="clear"/>
          </w:tcPr>
          <w:p>
            <w:r>
              <w:rPr>
                <w:rFonts w:ascii="Calibri" w:hAnsi="Calibri"/>
                <w:color w:val="333333"/>
                <w:sz w:val="18"/>
              </w:rPr>
              <w:t>25,00,000</w:t>
            </w:r>
          </w:p>
        </w:tc>
        <w:tc>
          <w:tcPr>
            <w:tcW w:type="dxa" w:w="2340"/>
            <w:shd w:fill="F2F6FA" w:val="clear"/>
          </w:tcPr>
          <w:p>
            <w:r>
              <w:rPr>
                <w:rFonts w:ascii="Calibri" w:hAnsi="Calibri"/>
                <w:color w:val="333333"/>
                <w:sz w:val="18"/>
              </w:rPr>
              <w:t>Requires comparative vendor analysis</w:t>
            </w:r>
          </w:p>
        </w:tc>
      </w:tr>
      <w:tr>
        <w:tc>
          <w:tcPr>
            <w:tcW w:type="dxa" w:w="2340"/>
          </w:tcPr>
          <w:p>
            <w:r>
              <w:rPr>
                <w:rFonts w:ascii="Calibri" w:hAnsi="Calibri"/>
                <w:color w:val="333333"/>
                <w:sz w:val="18"/>
              </w:rPr>
              <w:t>Chief Executive Officer</w:t>
            </w:r>
          </w:p>
        </w:tc>
        <w:tc>
          <w:tcPr>
            <w:tcW w:type="dxa" w:w="2340"/>
          </w:tcPr>
          <w:p>
            <w:r>
              <w:rPr>
                <w:rFonts w:ascii="Calibri" w:hAnsi="Calibri"/>
                <w:color w:val="333333"/>
                <w:sz w:val="18"/>
              </w:rPr>
              <w:t>25,00,001</w:t>
            </w:r>
          </w:p>
        </w:tc>
        <w:tc>
          <w:tcPr>
            <w:tcW w:type="dxa" w:w="2340"/>
          </w:tcPr>
          <w:p>
            <w:r>
              <w:rPr>
                <w:rFonts w:ascii="Calibri" w:hAnsi="Calibri"/>
                <w:color w:val="333333"/>
                <w:sz w:val="18"/>
              </w:rPr>
              <w:t>1,00,00,000</w:t>
            </w:r>
          </w:p>
        </w:tc>
        <w:tc>
          <w:tcPr>
            <w:tcW w:type="dxa" w:w="2340"/>
          </w:tcPr>
          <w:p>
            <w:r>
              <w:rPr>
                <w:rFonts w:ascii="Calibri" w:hAnsi="Calibri"/>
                <w:color w:val="333333"/>
                <w:sz w:val="18"/>
              </w:rPr>
              <w:t>Requires Legal and Finance review</w:t>
            </w:r>
          </w:p>
        </w:tc>
      </w:tr>
      <w:tr>
        <w:tc>
          <w:tcPr>
            <w:tcW w:type="dxa" w:w="2340"/>
            <w:shd w:fill="F2F6FA" w:val="clear"/>
          </w:tcPr>
          <w:p>
            <w:r>
              <w:rPr>
                <w:rFonts w:ascii="Calibri" w:hAnsi="Calibri"/>
                <w:color w:val="333333"/>
                <w:sz w:val="18"/>
              </w:rPr>
              <w:t>Board of Directors</w:t>
            </w:r>
          </w:p>
        </w:tc>
        <w:tc>
          <w:tcPr>
            <w:tcW w:type="dxa" w:w="2340"/>
            <w:shd w:fill="F2F6FA" w:val="clear"/>
          </w:tcPr>
          <w:p>
            <w:r>
              <w:rPr>
                <w:rFonts w:ascii="Calibri" w:hAnsi="Calibri"/>
                <w:color w:val="333333"/>
                <w:sz w:val="18"/>
              </w:rPr>
              <w:t>&gt; 1,00,00,000</w:t>
            </w:r>
          </w:p>
        </w:tc>
        <w:tc>
          <w:tcPr>
            <w:tcW w:type="dxa" w:w="2340"/>
            <w:shd w:fill="F2F6FA" w:val="clear"/>
          </w:tcPr>
          <w:p>
            <w:r>
              <w:rPr>
                <w:rFonts w:ascii="Calibri" w:hAnsi="Calibri"/>
                <w:color w:val="333333"/>
                <w:sz w:val="18"/>
              </w:rPr>
              <w:t>Unlimited</w:t>
            </w:r>
          </w:p>
        </w:tc>
        <w:tc>
          <w:tcPr>
            <w:tcW w:type="dxa" w:w="2340"/>
            <w:shd w:fill="F2F6FA" w:val="clear"/>
          </w:tcPr>
          <w:p>
            <w:r>
              <w:rPr>
                <w:rFonts w:ascii="Calibri" w:hAnsi="Calibri"/>
                <w:color w:val="333333"/>
                <w:sz w:val="18"/>
              </w:rPr>
              <w:t>Requires CEO and Board notification</w:t>
            </w:r>
          </w:p>
        </w:tc>
      </w:tr>
    </w:tbl>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r>
        <w:t>The thresholds outlined in the Approval Matrix apply to the total lifetime value of a contract or commitment, not just the initial payment or annual installment. When calculating the value of a multi-year agreement, the aggregate sum of all payments over the entire term must be used to determine the appropriate approval authority level. Splitting of purchases to circumvent these thresholds is strictly prohibited and constitutes a severe disciplinary offense.</w:t>
      </w:r>
    </w:p>
    <w:p>
      <w:pPr>
        <w:pStyle w:val="Heading1"/>
      </w:pPr>
      <w:r>
        <w:t>4. Category-Specific Delegations</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r>
        <w:t>Certain categories of expenditure carry unique risks or strategic importance, requiring specialized review paths regardless of the monetary value. These categories include IT hardware and software, marketing campaigns, specialized training, and international travel. All such purchases must route through the respective domain experts (e.g., CIO for IT, CMO for Marketing) prior to final financial approval.</w:t>
      </w:r>
    </w:p>
    <w:p>
      <w:pPr>
        <w:pStyle w:val="Heading1"/>
      </w:pPr>
      <w:r>
        <w:t>5. Prohibition of Split Purchases</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r>
        <w:t>A split purchase occurs when a single requirement or project is deliberately divided into multiple smaller transactions, purchase orders, or contracts with the explicit or implicit intent of remaining below a specific authorization threshold. This practice subverts the established governance framework, evades appropriate management oversight, and is strictly prohibited under Vistara policy. Any employee found engaging in split purchasing will face immediate disciplinary action, up to and including termination of employment.</w:t>
      </w:r>
    </w:p>
    <w:p>
      <w:pPr>
        <w:pStyle w:val="Heading1"/>
      </w:pPr>
      <w:r>
        <w:t>6. Temporary Delegation</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r>
        <w:t>In the event of an employee's planned absence (e.g., vacation, extended leave), authority may be temporarily delegated to ensure business continuity. Such delegation must be documented in writing, approved by the delegator's immediate supervisor, and lodged with the Finance Department. Temporary delegations cannot exceed 30 consecutive days and must be assigned to an individual of the same or higher organizational level. A delegate cannot further delegate their temporary authority.</w:t>
      </w:r>
    </w:p>
    <w:p>
      <w:pPr>
        <w:pStyle w:val="Heading1"/>
      </w:pPr>
      <w:r>
        <w:t>7. Operational Scenarios</w:t>
      </w:r>
    </w:p>
    <w:p>
      <w:pPr>
        <w:pStyle w:val="Heading3"/>
      </w:pPr>
      <w:r>
        <w:t>Scenario 1: Complex Procurement</w:t>
      </w:r>
    </w:p>
    <w:p>
      <w:r>
        <w:rPr>
          <w:b/>
          <w:color w:val="1B3A5C"/>
        </w:rPr>
        <w:t xml:space="preserve">Situation: </w:t>
      </w:r>
      <w:r>
        <w:t>A department needs to purchase services worth INR 50000.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2: Complex Procurement</w:t>
      </w:r>
    </w:p>
    <w:p>
      <w:r>
        <w:rPr>
          <w:b/>
          <w:color w:val="1B3A5C"/>
        </w:rPr>
        <w:t xml:space="preserve">Situation: </w:t>
      </w:r>
      <w:r>
        <w:t>A department needs to purchase services worth INR 100000.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3: Complex Procurement</w:t>
      </w:r>
    </w:p>
    <w:p>
      <w:r>
        <w:rPr>
          <w:b/>
          <w:color w:val="1B3A5C"/>
        </w:rPr>
        <w:t xml:space="preserve">Situation: </w:t>
      </w:r>
      <w:r>
        <w:t>A department needs to purchase services worth INR 150000.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4: Complex Procurement</w:t>
      </w:r>
    </w:p>
    <w:p>
      <w:r>
        <w:rPr>
          <w:b/>
          <w:color w:val="1B3A5C"/>
        </w:rPr>
        <w:t xml:space="preserve">Situation: </w:t>
      </w:r>
      <w:r>
        <w:t>A department needs to purchase services worth INR 200000.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5: Complex Procurement</w:t>
      </w:r>
    </w:p>
    <w:p>
      <w:r>
        <w:rPr>
          <w:b/>
          <w:color w:val="1B3A5C"/>
        </w:rPr>
        <w:t xml:space="preserve">Situation: </w:t>
      </w:r>
      <w:r>
        <w:t>A department needs to purchase services worth INR 250000.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6: Complex Procurement</w:t>
      </w:r>
    </w:p>
    <w:p>
      <w:r>
        <w:rPr>
          <w:b/>
          <w:color w:val="1B3A5C"/>
        </w:rPr>
        <w:t xml:space="preserve">Situation: </w:t>
      </w:r>
      <w:r>
        <w:t>A department needs to purchase services worth INR 300000.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7: Complex Procurement</w:t>
      </w:r>
    </w:p>
    <w:p>
      <w:r>
        <w:rPr>
          <w:b/>
          <w:color w:val="1B3A5C"/>
        </w:rPr>
        <w:t xml:space="preserve">Situation: </w:t>
      </w:r>
      <w:r>
        <w:t>A department needs to purchase services worth INR 350000.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8: Complex Procurement</w:t>
      </w:r>
    </w:p>
    <w:p>
      <w:r>
        <w:rPr>
          <w:b/>
          <w:color w:val="1B3A5C"/>
        </w:rPr>
        <w:t xml:space="preserve">Situation: </w:t>
      </w:r>
      <w:r>
        <w:t>A department needs to purchase services worth INR 400000.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9: Complex Procurement</w:t>
      </w:r>
    </w:p>
    <w:p>
      <w:r>
        <w:rPr>
          <w:b/>
          <w:color w:val="1B3A5C"/>
        </w:rPr>
        <w:t xml:space="preserve">Situation: </w:t>
      </w:r>
      <w:r>
        <w:t>A department needs to purchase services worth INR 450000.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3"/>
      </w:pPr>
      <w:r>
        <w:t>Scenario 10: Complex Procurement</w:t>
      </w:r>
    </w:p>
    <w:p>
      <w:r>
        <w:rPr>
          <w:b/>
          <w:color w:val="1B3A5C"/>
        </w:rPr>
        <w:t xml:space="preserve">Situation: </w:t>
      </w:r>
      <w:r>
        <w:t>A department needs to purchase services worth INR 500000.</w:t>
      </w:r>
    </w:p>
    <w:p>
      <w:r>
        <w:rPr>
          <w:b/>
          <w:color w:val="1B3A5C"/>
        </w:rPr>
        <w:t xml:space="preserve">Relevant Requirements: </w:t>
      </w:r>
      <w:r>
        <w:t>FIN-005 Thresholds apply.</w:t>
      </w:r>
    </w:p>
    <w:p>
      <w:r>
        <w:rPr>
          <w:b/>
          <w:color w:val="1B3A5C"/>
        </w:rPr>
        <w:t xml:space="preserve">Expected Process: </w:t>
      </w:r>
      <w:r>
        <w:t>Initiate PR, obtain sequential approvals up to the required level.</w:t>
      </w:r>
    </w:p>
    <w:p>
      <w:r>
        <w:rPr>
          <w:b/>
          <w:color w:val="1B3A5C"/>
        </w:rPr>
        <w:t xml:space="preserve">Outcome: </w:t>
      </w:r>
      <w:r>
        <w:t>Purchase approved and executed securely.</w:t>
      </w:r>
    </w:p>
    <w:p/>
    <w:p>
      <w:pPr>
        <w:pStyle w:val="Heading1"/>
      </w:pPr>
      <w:r>
        <w:t>8. Frequently Asked Questions</w:t>
      </w:r>
    </w:p>
    <w:p>
      <w:r>
        <w:rPr>
          <w:rFonts w:ascii="Calibri" w:hAnsi="Calibri"/>
          <w:b/>
          <w:color w:val="1B3A5C"/>
          <w:sz w:val="22"/>
        </w:rPr>
        <w:t>Q: Question 1 about policy FIN-005 limits?</w:t>
      </w:r>
    </w:p>
    <w:p>
      <w:pPr>
        <w:spacing w:after="240"/>
      </w:pPr>
      <w:r>
        <w:rPr>
          <w:rFonts w:ascii="Calibri" w:hAnsi="Calibri"/>
          <w:color w:val="333333"/>
          <w:sz w:val="22"/>
        </w:rPr>
        <w:t>A: Answer 1: Please refer to section 3. The exact rules dictate compliance with the stated INR thresholds.</w:t>
      </w:r>
    </w:p>
    <w:p>
      <w:r>
        <w:rPr>
          <w:rFonts w:ascii="Calibri" w:hAnsi="Calibri"/>
          <w:b/>
          <w:color w:val="1B3A5C"/>
          <w:sz w:val="22"/>
        </w:rPr>
        <w:t>Q: Question 2 about policy FIN-005 limits?</w:t>
      </w:r>
    </w:p>
    <w:p>
      <w:pPr>
        <w:spacing w:after="240"/>
      </w:pPr>
      <w:r>
        <w:rPr>
          <w:rFonts w:ascii="Calibri" w:hAnsi="Calibri"/>
          <w:color w:val="333333"/>
          <w:sz w:val="22"/>
        </w:rPr>
        <w:t>A: Answer 2: Please refer to section 3. The exact rules dictate compliance with the stated INR thresholds.</w:t>
      </w:r>
    </w:p>
    <w:p>
      <w:r>
        <w:rPr>
          <w:rFonts w:ascii="Calibri" w:hAnsi="Calibri"/>
          <w:b/>
          <w:color w:val="1B3A5C"/>
          <w:sz w:val="22"/>
        </w:rPr>
        <w:t>Q: Question 3 about policy FIN-005 limits?</w:t>
      </w:r>
    </w:p>
    <w:p>
      <w:pPr>
        <w:spacing w:after="240"/>
      </w:pPr>
      <w:r>
        <w:rPr>
          <w:rFonts w:ascii="Calibri" w:hAnsi="Calibri"/>
          <w:color w:val="333333"/>
          <w:sz w:val="22"/>
        </w:rPr>
        <w:t>A: Answer 3: Please refer to section 3. The exact rules dictate compliance with the stated INR thresholds.</w:t>
      </w:r>
    </w:p>
    <w:p>
      <w:r>
        <w:rPr>
          <w:rFonts w:ascii="Calibri" w:hAnsi="Calibri"/>
          <w:b/>
          <w:color w:val="1B3A5C"/>
          <w:sz w:val="22"/>
        </w:rPr>
        <w:t>Q: Question 4 about policy FIN-005 limits?</w:t>
      </w:r>
    </w:p>
    <w:p>
      <w:pPr>
        <w:spacing w:after="240"/>
      </w:pPr>
      <w:r>
        <w:rPr>
          <w:rFonts w:ascii="Calibri" w:hAnsi="Calibri"/>
          <w:color w:val="333333"/>
          <w:sz w:val="22"/>
        </w:rPr>
        <w:t>A: Answer 4: Please refer to section 3. The exact rules dictate compliance with the stated INR thresholds.</w:t>
      </w:r>
    </w:p>
    <w:p>
      <w:r>
        <w:rPr>
          <w:rFonts w:ascii="Calibri" w:hAnsi="Calibri"/>
          <w:b/>
          <w:color w:val="1B3A5C"/>
          <w:sz w:val="22"/>
        </w:rPr>
        <w:t>Q: Question 5 about policy FIN-005 limits?</w:t>
      </w:r>
    </w:p>
    <w:p>
      <w:pPr>
        <w:spacing w:after="240"/>
      </w:pPr>
      <w:r>
        <w:rPr>
          <w:rFonts w:ascii="Calibri" w:hAnsi="Calibri"/>
          <w:color w:val="333333"/>
          <w:sz w:val="22"/>
        </w:rPr>
        <w:t>A: Answer 5: Please refer to section 3. The exact rules dictate compliance with the stated INR thresholds.</w:t>
      </w:r>
    </w:p>
    <w:p>
      <w:r>
        <w:rPr>
          <w:rFonts w:ascii="Calibri" w:hAnsi="Calibri"/>
          <w:b/>
          <w:color w:val="1B3A5C"/>
          <w:sz w:val="22"/>
        </w:rPr>
        <w:t>Q: Question 6 about policy FIN-005 limits?</w:t>
      </w:r>
    </w:p>
    <w:p>
      <w:pPr>
        <w:spacing w:after="240"/>
      </w:pPr>
      <w:r>
        <w:rPr>
          <w:rFonts w:ascii="Calibri" w:hAnsi="Calibri"/>
          <w:color w:val="333333"/>
          <w:sz w:val="22"/>
        </w:rPr>
        <w:t>A: Answer 6: Please refer to section 3. The exact rules dictate compliance with the stated INR thresholds.</w:t>
      </w:r>
    </w:p>
    <w:p>
      <w:r>
        <w:rPr>
          <w:rFonts w:ascii="Calibri" w:hAnsi="Calibri"/>
          <w:b/>
          <w:color w:val="1B3A5C"/>
          <w:sz w:val="22"/>
        </w:rPr>
        <w:t>Q: Question 7 about policy FIN-005 limits?</w:t>
      </w:r>
    </w:p>
    <w:p>
      <w:pPr>
        <w:spacing w:after="240"/>
      </w:pPr>
      <w:r>
        <w:rPr>
          <w:rFonts w:ascii="Calibri" w:hAnsi="Calibri"/>
          <w:color w:val="333333"/>
          <w:sz w:val="22"/>
        </w:rPr>
        <w:t>A: Answer 7: Please refer to section 3. The exact rules dictate compliance with the stated INR thresholds.</w:t>
      </w:r>
    </w:p>
    <w:p>
      <w:r>
        <w:rPr>
          <w:rFonts w:ascii="Calibri" w:hAnsi="Calibri"/>
          <w:b/>
          <w:color w:val="1B3A5C"/>
          <w:sz w:val="22"/>
        </w:rPr>
        <w:t>Q: Question 8 about policy FIN-005 limits?</w:t>
      </w:r>
    </w:p>
    <w:p>
      <w:pPr>
        <w:spacing w:after="240"/>
      </w:pPr>
      <w:r>
        <w:rPr>
          <w:rFonts w:ascii="Calibri" w:hAnsi="Calibri"/>
          <w:color w:val="333333"/>
          <w:sz w:val="22"/>
        </w:rPr>
        <w:t>A: Answer 8: Please refer to section 3. The exact rules dictate compliance with the stated INR thresholds.</w:t>
      </w:r>
    </w:p>
    <w:p>
      <w:r>
        <w:rPr>
          <w:rFonts w:ascii="Calibri" w:hAnsi="Calibri"/>
          <w:b/>
          <w:color w:val="1B3A5C"/>
          <w:sz w:val="22"/>
        </w:rPr>
        <w:t>Q: Question 9 about policy FIN-005 limits?</w:t>
      </w:r>
    </w:p>
    <w:p>
      <w:pPr>
        <w:spacing w:after="240"/>
      </w:pPr>
      <w:r>
        <w:rPr>
          <w:rFonts w:ascii="Calibri" w:hAnsi="Calibri"/>
          <w:color w:val="333333"/>
          <w:sz w:val="22"/>
        </w:rPr>
        <w:t>A: Answer 9: Please refer to section 3. The exact rules dictate compliance with the stated INR thresholds.</w:t>
      </w:r>
    </w:p>
    <w:p>
      <w:r>
        <w:rPr>
          <w:rFonts w:ascii="Calibri" w:hAnsi="Calibri"/>
          <w:b/>
          <w:color w:val="1B3A5C"/>
          <w:sz w:val="22"/>
        </w:rPr>
        <w:t>Q: Question 10 about policy FIN-005 limits?</w:t>
      </w:r>
    </w:p>
    <w:p>
      <w:pPr>
        <w:spacing w:after="240"/>
      </w:pPr>
      <w:r>
        <w:rPr>
          <w:rFonts w:ascii="Calibri" w:hAnsi="Calibri"/>
          <w:color w:val="333333"/>
          <w:sz w:val="22"/>
        </w:rPr>
        <w:t>A: Answer 10: Please refer to section 3. The exact rules dictate compliance with the stated INR thresholds.</w:t>
      </w:r>
    </w:p>
    <w:p>
      <w:r>
        <w:rPr>
          <w:rFonts w:ascii="Calibri" w:hAnsi="Calibri"/>
          <w:b/>
          <w:color w:val="1B3A5C"/>
          <w:sz w:val="22"/>
        </w:rPr>
        <w:t>Q: Question 11 about policy FIN-005 limits?</w:t>
      </w:r>
    </w:p>
    <w:p>
      <w:pPr>
        <w:spacing w:after="240"/>
      </w:pPr>
      <w:r>
        <w:rPr>
          <w:rFonts w:ascii="Calibri" w:hAnsi="Calibri"/>
          <w:color w:val="333333"/>
          <w:sz w:val="22"/>
        </w:rPr>
        <w:t>A: Answer 11: Please refer to section 3. The exact rules dictate compliance with the stated INR thresholds.</w:t>
      </w:r>
    </w:p>
    <w:p>
      <w:r>
        <w:rPr>
          <w:rFonts w:ascii="Calibri" w:hAnsi="Calibri"/>
          <w:b/>
          <w:color w:val="1B3A5C"/>
          <w:sz w:val="22"/>
        </w:rPr>
        <w:t>Q: Question 12 about policy FIN-005 limits?</w:t>
      </w:r>
    </w:p>
    <w:p>
      <w:pPr>
        <w:spacing w:after="240"/>
      </w:pPr>
      <w:r>
        <w:rPr>
          <w:rFonts w:ascii="Calibri" w:hAnsi="Calibri"/>
          <w:color w:val="333333"/>
          <w:sz w:val="22"/>
        </w:rPr>
        <w:t>A: Answer 12: Please refer to section 3. The exact rules dictate compliance with the stated INR thresholds.</w:t>
      </w:r>
    </w:p>
    <w:p>
      <w:r>
        <w:rPr>
          <w:rFonts w:ascii="Calibri" w:hAnsi="Calibri"/>
          <w:b/>
          <w:color w:val="1B3A5C"/>
          <w:sz w:val="22"/>
        </w:rPr>
        <w:t>Q: Question 13 about policy FIN-005 limits?</w:t>
      </w:r>
    </w:p>
    <w:p>
      <w:pPr>
        <w:spacing w:after="240"/>
      </w:pPr>
      <w:r>
        <w:rPr>
          <w:rFonts w:ascii="Calibri" w:hAnsi="Calibri"/>
          <w:color w:val="333333"/>
          <w:sz w:val="22"/>
        </w:rPr>
        <w:t>A: Answer 13: Please refer to section 3. The exact rules dictate compliance with the stated INR thresholds.</w:t>
      </w:r>
    </w:p>
    <w:p>
      <w:r>
        <w:rPr>
          <w:rFonts w:ascii="Calibri" w:hAnsi="Calibri"/>
          <w:b/>
          <w:color w:val="1B3A5C"/>
          <w:sz w:val="22"/>
        </w:rPr>
        <w:t>Q: Question 14 about policy FIN-005 limits?</w:t>
      </w:r>
    </w:p>
    <w:p>
      <w:pPr>
        <w:spacing w:after="240"/>
      </w:pPr>
      <w:r>
        <w:rPr>
          <w:rFonts w:ascii="Calibri" w:hAnsi="Calibri"/>
          <w:color w:val="333333"/>
          <w:sz w:val="22"/>
        </w:rPr>
        <w:t>A: Answer 14: Please refer to section 3. The exact rules dictate compliance with the stated INR thresholds.</w:t>
      </w:r>
    </w:p>
    <w:p>
      <w:r>
        <w:rPr>
          <w:rFonts w:ascii="Calibri" w:hAnsi="Calibri"/>
          <w:b/>
          <w:color w:val="1B3A5C"/>
          <w:sz w:val="22"/>
        </w:rPr>
        <w:t>Q: Question 15 about policy FIN-005 limits?</w:t>
      </w:r>
    </w:p>
    <w:p>
      <w:pPr>
        <w:spacing w:after="240"/>
      </w:pPr>
      <w:r>
        <w:rPr>
          <w:rFonts w:ascii="Calibri" w:hAnsi="Calibri"/>
          <w:color w:val="333333"/>
          <w:sz w:val="22"/>
        </w:rPr>
        <w:t>A: Answer 15: Please refer to section 3. The exact rules dictate compliance with the stated INR thresholds.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10 Jan 2024</w:t>
            </w:r>
          </w:p>
        </w:tc>
        <w:tc>
          <w:tcPr>
            <w:tcW w:type="dxa" w:w="2160"/>
          </w:tcPr>
          <w:p>
            <w:r>
              <w:rPr>
                <w:rFonts w:ascii="Calibri" w:hAnsi="Calibri"/>
                <w:color w:val="333333"/>
                <w:sz w:val="18"/>
              </w:rPr>
              <w:t>Finance Team</w:t>
            </w:r>
          </w:p>
        </w:tc>
        <w:tc>
          <w:tcPr>
            <w:tcW w:type="dxa" w:w="4320"/>
          </w:tcPr>
          <w:p>
            <w:r>
              <w:rPr>
                <w:rFonts w:ascii="Calibri" w:hAnsi="Calibri"/>
                <w:color w:val="333333"/>
                <w:sz w:val="18"/>
              </w:rPr>
              <w:t>Initial Release</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15 May 2024</w:t>
            </w:r>
          </w:p>
        </w:tc>
        <w:tc>
          <w:tcPr>
            <w:tcW w:type="dxa" w:w="2160"/>
            <w:shd w:fill="F2F6FA" w:val="clear"/>
          </w:tcPr>
          <w:p>
            <w:r>
              <w:rPr>
                <w:rFonts w:ascii="Calibri" w:hAnsi="Calibri"/>
                <w:color w:val="333333"/>
                <w:sz w:val="18"/>
              </w:rPr>
              <w:t>VP Finance</w:t>
            </w:r>
          </w:p>
        </w:tc>
        <w:tc>
          <w:tcPr>
            <w:tcW w:type="dxa" w:w="4320"/>
            <w:shd w:fill="F2F6FA" w:val="clear"/>
          </w:tcPr>
          <w:p>
            <w:r>
              <w:rPr>
                <w:rFonts w:ascii="Calibri" w:hAnsi="Calibri"/>
                <w:color w:val="333333"/>
                <w:sz w:val="18"/>
              </w:rPr>
              <w:t>Updated limits</w:t>
            </w:r>
          </w:p>
        </w:tc>
      </w:tr>
      <w:tr>
        <w:tc>
          <w:tcPr>
            <w:tcW w:type="dxa" w:w="1152"/>
          </w:tcPr>
          <w:p>
            <w:r>
              <w:rPr>
                <w:rFonts w:ascii="Calibri" w:hAnsi="Calibri"/>
                <w:color w:val="333333"/>
                <w:sz w:val="18"/>
              </w:rPr>
              <w:t>1.2</w:t>
            </w:r>
          </w:p>
        </w:tc>
        <w:tc>
          <w:tcPr>
            <w:tcW w:type="dxa" w:w="1872"/>
          </w:tcPr>
          <w:p>
            <w:r>
              <w:rPr>
                <w:rFonts w:ascii="Calibri" w:hAnsi="Calibri"/>
                <w:color w:val="333333"/>
                <w:sz w:val="18"/>
              </w:rPr>
              <w:t>01 Aug 2025</w:t>
            </w:r>
          </w:p>
        </w:tc>
        <w:tc>
          <w:tcPr>
            <w:tcW w:type="dxa" w:w="2160"/>
          </w:tcPr>
          <w:p>
            <w:r>
              <w:rPr>
                <w:rFonts w:ascii="Calibri" w:hAnsi="Calibri"/>
                <w:color w:val="333333"/>
                <w:sz w:val="18"/>
              </w:rPr>
              <w:t>CFO</w:t>
            </w:r>
          </w:p>
        </w:tc>
        <w:tc>
          <w:tcPr>
            <w:tcW w:type="dxa" w:w="4320"/>
          </w:tcPr>
          <w:p>
            <w:r>
              <w:rPr>
                <w:rFonts w:ascii="Calibri" w:hAnsi="Calibri"/>
                <w:color w:val="333333"/>
                <w:sz w:val="18"/>
              </w:rPr>
              <w:t>Added split purchase rules</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15 Feb 2026</w:t>
            </w:r>
          </w:p>
        </w:tc>
        <w:tc>
          <w:tcPr>
            <w:tcW w:type="dxa" w:w="2160"/>
            <w:shd w:fill="F2F6FA" w:val="clear"/>
          </w:tcPr>
          <w:p>
            <w:r>
              <w:rPr>
                <w:rFonts w:ascii="Calibri" w:hAnsi="Calibri"/>
                <w:color w:val="333333"/>
                <w:sz w:val="18"/>
              </w:rPr>
              <w:t>VP Finance</w:t>
            </w:r>
          </w:p>
        </w:tc>
        <w:tc>
          <w:tcPr>
            <w:tcW w:type="dxa" w:w="4320"/>
            <w:shd w:fill="F2F6FA" w:val="clear"/>
          </w:tcPr>
          <w:p>
            <w:r>
              <w:rPr>
                <w:rFonts w:ascii="Calibri" w:hAnsi="Calibri"/>
                <w:color w:val="333333"/>
                <w:sz w:val="18"/>
              </w:rPr>
              <w:t>Major revision and realignment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FIN-005</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