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color w:val="1B3A5C"/>
          <w:sz w:val="56"/>
        </w:rPr>
        <w:t>VISTARA GLOBAL SYSTEMS</w:t>
      </w:r>
    </w:p>
    <w:p>
      <w:pPr>
        <w:jc w:val="center"/>
      </w:pPr>
      <w:r>
        <w:rPr>
          <w:rFonts w:ascii="Calibri" w:hAnsi="Calibri"/>
          <w:color w:val="666666"/>
          <w:sz w:val="28"/>
        </w:rPr>
        <w:t>Pvt. Ltd.</w:t>
      </w:r>
    </w:p>
    <w:p>
      <w:pPr>
        <w:jc w:val="center"/>
      </w:pPr>
      <w:r>
        <w:rPr>
          <w:color w:val="1B3A5C"/>
          <w:sz w:val="24"/>
        </w:rPr>
        <w:t>━━━━━━━━━━━━━━━━━━━━━━━━━━━━━━━━━━━━━━━━━━━━━━━━━━</w:t>
      </w:r>
    </w:p>
    <w:p/>
    <w:p>
      <w:pPr>
        <w:jc w:val="center"/>
      </w:pPr>
      <w:r>
        <w:rPr>
          <w:rFonts w:ascii="Calibri" w:hAnsi="Calibri"/>
          <w:b/>
          <w:color w:val="333333"/>
          <w:sz w:val="44"/>
        </w:rPr>
        <w:t>Corporate Card Policy</w:t>
      </w:r>
    </w:p>
    <w:p/>
    <w:tbl>
      <w:tblPr>
        <w:tblW w:type="auto" w:w="0"/>
        <w:jc w:val="center"/>
        <w:tblLook w:firstColumn="1" w:firstRow="1" w:lastColumn="0" w:lastRow="0" w:noHBand="0" w:noVBand="1" w:val="04A0"/>
      </w:tblPr>
      <w:tblGrid>
        <w:gridCol w:w="4680"/>
        <w:gridCol w:w="4680"/>
      </w:tblGrid>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Policy ID:</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FIN-006</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Version:</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1.2</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Status:</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Approved</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Classification:</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Internal</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Policy Owner:</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VP Finance</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Approved By:</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CFO</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Effective Date:</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01 April 2026</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Next Review Date:</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01 April 2027</w:t>
            </w:r>
          </w:p>
        </w:tc>
      </w:tr>
    </w:tbl>
    <w:p/>
    <w:p/>
    <w:p>
      <w:pPr>
        <w:jc w:val="center"/>
      </w:pPr>
      <w:r>
        <w:rPr>
          <w:rFonts w:ascii="Calibri" w:hAnsi="Calibri"/>
          <w:i/>
          <w:color w:val="999999"/>
          <w:sz w:val="18"/>
        </w:rPr>
        <w:t>Fictional enterprise policy document for demonstration and knowledge-assistant testing.</w:t>
      </w:r>
    </w:p>
    <w:p>
      <w:r>
        <w:br w:type="page"/>
      </w:r>
    </w:p>
    <w:p>
      <w:pPr>
        <w:pStyle w:val="Heading1"/>
      </w:pPr>
      <w:r>
        <w:t>Document Control</w:t>
      </w:r>
    </w:p>
    <w:tbl>
      <w:tblPr>
        <w:tblStyle w:val="TableGrid"/>
        <w:tblW w:type="auto" w:w="0"/>
        <w:jc w:val="left"/>
        <w:tblLook w:firstColumn="1" w:firstRow="1" w:lastColumn="0" w:lastRow="0" w:noHBand="0" w:noVBand="1" w:val="04A0"/>
      </w:tblPr>
      <w:tblGrid>
        <w:gridCol w:w="4680"/>
        <w:gridCol w:w="4680"/>
      </w:tblGrid>
      <w:tr>
        <w:tc>
          <w:tcPr>
            <w:tcW w:type="dxa" w:w="2880"/>
            <w:shd w:fill="E8EFF7" w:val="clear"/>
          </w:tcPr>
          <w:p>
            <w:r>
              <w:rPr>
                <w:rFonts w:ascii="Calibri" w:hAnsi="Calibri"/>
                <w:b/>
                <w:color w:val="1B3A5C"/>
                <w:sz w:val="20"/>
              </w:rPr>
              <w:t>Document ID</w:t>
            </w:r>
          </w:p>
        </w:tc>
        <w:tc>
          <w:tcPr>
            <w:tcW w:type="dxa" w:w="6480"/>
          </w:tcPr>
          <w:p>
            <w:r>
              <w:rPr>
                <w:rFonts w:ascii="Calibri" w:hAnsi="Calibri"/>
                <w:color w:val="333333"/>
                <w:sz w:val="20"/>
              </w:rPr>
              <w:t>FIN-006</w:t>
            </w:r>
          </w:p>
        </w:tc>
      </w:tr>
      <w:tr>
        <w:tc>
          <w:tcPr>
            <w:tcW w:type="dxa" w:w="2880"/>
            <w:shd w:fill="E8EFF7" w:val="clear"/>
          </w:tcPr>
          <w:p>
            <w:r>
              <w:rPr>
                <w:rFonts w:ascii="Calibri" w:hAnsi="Calibri"/>
                <w:b/>
                <w:color w:val="1B3A5C"/>
                <w:sz w:val="20"/>
              </w:rPr>
              <w:t>Policy Name</w:t>
            </w:r>
          </w:p>
        </w:tc>
        <w:tc>
          <w:tcPr>
            <w:tcW w:type="dxa" w:w="6480"/>
          </w:tcPr>
          <w:p>
            <w:r>
              <w:rPr>
                <w:rFonts w:ascii="Calibri" w:hAnsi="Calibri"/>
                <w:color w:val="333333"/>
                <w:sz w:val="20"/>
              </w:rPr>
              <w:t>Corporate Card Policy</w:t>
            </w:r>
          </w:p>
        </w:tc>
      </w:tr>
      <w:tr>
        <w:tc>
          <w:tcPr>
            <w:tcW w:type="dxa" w:w="2880"/>
            <w:shd w:fill="E8EFF7" w:val="clear"/>
          </w:tcPr>
          <w:p>
            <w:r>
              <w:rPr>
                <w:rFonts w:ascii="Calibri" w:hAnsi="Calibri"/>
                <w:b/>
                <w:color w:val="1B3A5C"/>
                <w:sz w:val="20"/>
              </w:rPr>
              <w:t>Version</w:t>
            </w:r>
          </w:p>
        </w:tc>
        <w:tc>
          <w:tcPr>
            <w:tcW w:type="dxa" w:w="6480"/>
          </w:tcPr>
          <w:p>
            <w:r>
              <w:rPr>
                <w:rFonts w:ascii="Calibri" w:hAnsi="Calibri"/>
                <w:color w:val="333333"/>
                <w:sz w:val="20"/>
              </w:rPr>
              <w:t>1.2</w:t>
            </w:r>
          </w:p>
        </w:tc>
      </w:tr>
      <w:tr>
        <w:tc>
          <w:tcPr>
            <w:tcW w:type="dxa" w:w="2880"/>
            <w:shd w:fill="E8EFF7" w:val="clear"/>
          </w:tcPr>
          <w:p>
            <w:r>
              <w:rPr>
                <w:rFonts w:ascii="Calibri" w:hAnsi="Calibri"/>
                <w:b/>
                <w:color w:val="1B3A5C"/>
                <w:sz w:val="20"/>
              </w:rPr>
              <w:t>Status</w:t>
            </w:r>
          </w:p>
        </w:tc>
        <w:tc>
          <w:tcPr>
            <w:tcW w:type="dxa" w:w="6480"/>
          </w:tcPr>
          <w:p>
            <w:r>
              <w:rPr>
                <w:rFonts w:ascii="Calibri" w:hAnsi="Calibri"/>
                <w:color w:val="333333"/>
                <w:sz w:val="20"/>
              </w:rPr>
              <w:t>Approved</w:t>
            </w:r>
          </w:p>
        </w:tc>
      </w:tr>
      <w:tr>
        <w:tc>
          <w:tcPr>
            <w:tcW w:type="dxa" w:w="2880"/>
            <w:shd w:fill="E8EFF7" w:val="clear"/>
          </w:tcPr>
          <w:p>
            <w:r>
              <w:rPr>
                <w:rFonts w:ascii="Calibri" w:hAnsi="Calibri"/>
                <w:b/>
                <w:color w:val="1B3A5C"/>
                <w:sz w:val="20"/>
              </w:rPr>
              <w:t>Classification</w:t>
            </w:r>
          </w:p>
        </w:tc>
        <w:tc>
          <w:tcPr>
            <w:tcW w:type="dxa" w:w="6480"/>
          </w:tcPr>
          <w:p>
            <w:r>
              <w:rPr>
                <w:rFonts w:ascii="Calibri" w:hAnsi="Calibri"/>
                <w:color w:val="333333"/>
                <w:sz w:val="20"/>
              </w:rPr>
              <w:t>Internal</w:t>
            </w:r>
          </w:p>
        </w:tc>
      </w:tr>
      <w:tr>
        <w:tc>
          <w:tcPr>
            <w:tcW w:type="dxa" w:w="2880"/>
            <w:shd w:fill="E8EFF7" w:val="clear"/>
          </w:tcPr>
          <w:p>
            <w:r>
              <w:rPr>
                <w:rFonts w:ascii="Calibri" w:hAnsi="Calibri"/>
                <w:b/>
                <w:color w:val="1B3A5C"/>
                <w:sz w:val="20"/>
              </w:rPr>
              <w:t>Policy Owner</w:t>
            </w:r>
          </w:p>
        </w:tc>
        <w:tc>
          <w:tcPr>
            <w:tcW w:type="dxa" w:w="6480"/>
          </w:tcPr>
          <w:p>
            <w:r>
              <w:rPr>
                <w:rFonts w:ascii="Calibri" w:hAnsi="Calibri"/>
                <w:color w:val="333333"/>
                <w:sz w:val="20"/>
              </w:rPr>
              <w:t>VP Finance</w:t>
            </w:r>
          </w:p>
        </w:tc>
      </w:tr>
      <w:tr>
        <w:tc>
          <w:tcPr>
            <w:tcW w:type="dxa" w:w="2880"/>
            <w:shd w:fill="E8EFF7" w:val="clear"/>
          </w:tcPr>
          <w:p>
            <w:r>
              <w:rPr>
                <w:rFonts w:ascii="Calibri" w:hAnsi="Calibri"/>
                <w:b/>
                <w:color w:val="1B3A5C"/>
                <w:sz w:val="20"/>
              </w:rPr>
              <w:t>Approved By</w:t>
            </w:r>
          </w:p>
        </w:tc>
        <w:tc>
          <w:tcPr>
            <w:tcW w:type="dxa" w:w="6480"/>
          </w:tcPr>
          <w:p>
            <w:r>
              <w:rPr>
                <w:rFonts w:ascii="Calibri" w:hAnsi="Calibri"/>
                <w:color w:val="333333"/>
                <w:sz w:val="20"/>
              </w:rPr>
              <w:t>CFO</w:t>
            </w:r>
          </w:p>
        </w:tc>
      </w:tr>
      <w:tr>
        <w:tc>
          <w:tcPr>
            <w:tcW w:type="dxa" w:w="2880"/>
            <w:shd w:fill="E8EFF7" w:val="clear"/>
          </w:tcPr>
          <w:p>
            <w:r>
              <w:rPr>
                <w:rFonts w:ascii="Calibri" w:hAnsi="Calibri"/>
                <w:b/>
                <w:color w:val="1B3A5C"/>
                <w:sz w:val="20"/>
              </w:rPr>
              <w:t>Effective Date</w:t>
            </w:r>
          </w:p>
        </w:tc>
        <w:tc>
          <w:tcPr>
            <w:tcW w:type="dxa" w:w="6480"/>
          </w:tcPr>
          <w:p>
            <w:r>
              <w:rPr>
                <w:rFonts w:ascii="Calibri" w:hAnsi="Calibri"/>
                <w:color w:val="333333"/>
                <w:sz w:val="20"/>
              </w:rPr>
              <w:t>01 April 2026</w:t>
            </w:r>
          </w:p>
        </w:tc>
      </w:tr>
      <w:tr>
        <w:tc>
          <w:tcPr>
            <w:tcW w:type="dxa" w:w="2880"/>
            <w:shd w:fill="E8EFF7" w:val="clear"/>
          </w:tcPr>
          <w:p>
            <w:r>
              <w:rPr>
                <w:rFonts w:ascii="Calibri" w:hAnsi="Calibri"/>
                <w:b/>
                <w:color w:val="1B3A5C"/>
                <w:sz w:val="20"/>
              </w:rPr>
              <w:t>Next Review Date</w:t>
            </w:r>
          </w:p>
        </w:tc>
        <w:tc>
          <w:tcPr>
            <w:tcW w:type="dxa" w:w="6480"/>
          </w:tcPr>
          <w:p>
            <w:r>
              <w:rPr>
                <w:rFonts w:ascii="Calibri" w:hAnsi="Calibri"/>
                <w:color w:val="333333"/>
                <w:sz w:val="20"/>
              </w:rPr>
              <w:t>01 April 2027</w:t>
            </w:r>
          </w:p>
        </w:tc>
      </w:tr>
      <w:tr>
        <w:tc>
          <w:tcPr>
            <w:tcW w:type="dxa" w:w="2880"/>
            <w:shd w:fill="E8EFF7" w:val="clear"/>
          </w:tcPr>
          <w:p>
            <w:r>
              <w:rPr>
                <w:rFonts w:ascii="Calibri" w:hAnsi="Calibri"/>
                <w:b/>
                <w:color w:val="1B3A5C"/>
                <w:sz w:val="20"/>
              </w:rPr>
              <w:t>Review Frequency</w:t>
            </w:r>
          </w:p>
        </w:tc>
        <w:tc>
          <w:tcPr>
            <w:tcW w:type="dxa" w:w="6480"/>
          </w:tcPr>
          <w:p>
            <w:r>
              <w:rPr>
                <w:rFonts w:ascii="Calibri" w:hAnsi="Calibri"/>
                <w:color w:val="333333"/>
                <w:sz w:val="20"/>
              </w:rPr>
              <w:t>Annual</w:t>
            </w:r>
          </w:p>
        </w:tc>
      </w:tr>
      <w:tr>
        <w:tc>
          <w:tcPr>
            <w:tcW w:type="dxa" w:w="2880"/>
            <w:shd w:fill="E8EFF7" w:val="clear"/>
          </w:tcPr>
          <w:p>
            <w:r>
              <w:rPr>
                <w:rFonts w:ascii="Calibri" w:hAnsi="Calibri"/>
                <w:b/>
                <w:color w:val="1B3A5C"/>
                <w:sz w:val="20"/>
              </w:rPr>
              <w:t>Applicable Employees</w:t>
            </w:r>
          </w:p>
        </w:tc>
        <w:tc>
          <w:tcPr>
            <w:tcW w:type="dxa" w:w="6480"/>
          </w:tcPr>
          <w:p>
            <w:r>
              <w:rPr>
                <w:rFonts w:ascii="Calibri" w:hAnsi="Calibri"/>
                <w:color w:val="333333"/>
                <w:sz w:val="20"/>
              </w:rPr>
              <w:t>All Vistara corporate cardholders</w:t>
            </w:r>
          </w:p>
        </w:tc>
      </w:tr>
      <w:tr>
        <w:tc>
          <w:tcPr>
            <w:tcW w:type="dxa" w:w="2880"/>
            <w:shd w:fill="E8EFF7" w:val="clear"/>
          </w:tcPr>
          <w:p>
            <w:r>
              <w:rPr>
                <w:rFonts w:ascii="Calibri" w:hAnsi="Calibri"/>
                <w:b/>
                <w:color w:val="1B3A5C"/>
                <w:sz w:val="20"/>
              </w:rPr>
              <w:t>Supersedes</w:t>
            </w:r>
          </w:p>
        </w:tc>
        <w:tc>
          <w:tcPr>
            <w:tcW w:type="dxa" w:w="6480"/>
          </w:tcPr>
          <w:p>
            <w:r>
              <w:rPr>
                <w:rFonts w:ascii="Calibri" w:hAnsi="Calibri"/>
                <w:color w:val="333333"/>
                <w:sz w:val="20"/>
              </w:rPr>
              <w:t>Version 1.1 (01 October 2025)</w:t>
            </w:r>
          </w:p>
        </w:tc>
      </w:tr>
      <w:tr>
        <w:tc>
          <w:tcPr>
            <w:tcW w:type="dxa" w:w="2880"/>
            <w:shd w:fill="E8EFF7" w:val="clear"/>
          </w:tcPr>
          <w:p>
            <w:r>
              <w:rPr>
                <w:rFonts w:ascii="Calibri" w:hAnsi="Calibri"/>
                <w:b/>
                <w:color w:val="1B3A5C"/>
                <w:sz w:val="20"/>
              </w:rPr>
              <w:t>Related Policies</w:t>
            </w:r>
          </w:p>
        </w:tc>
        <w:tc>
          <w:tcPr>
            <w:tcW w:type="dxa" w:w="6480"/>
          </w:tcPr>
          <w:p>
            <w:r>
              <w:rPr>
                <w:rFonts w:ascii="Calibri" w:hAnsi="Calibri"/>
                <w:color w:val="333333"/>
                <w:sz w:val="20"/>
              </w:rPr>
              <w:t>FIN-001, FIN-002, FIN-003, FIN-005</w:t>
            </w:r>
          </w:p>
        </w:tc>
      </w:tr>
    </w:tbl>
    <w:p/>
    <w:p>
      <w:pPr>
        <w:pStyle w:val="Heading1"/>
      </w:pPr>
      <w:r>
        <w:t>Table of Contents</w:t>
      </w:r>
    </w:p>
    <w:p>
      <w:r>
        <w:rPr>
          <w:i/>
          <w:color w:val="666666"/>
          <w:sz w:val="18"/>
        </w:rPr>
        <w:t>[This Table of Contents is automatically generated when the document is opened in Microsoft Word. Right-click and select 'Update Field' to refresh.]</w:t>
      </w:r>
    </w:p>
    <w:p>
      <w:r>
        <w:fldChar w:fldCharType="begin"/>
      </w:r>
      <w:r>
        <w:instrText xml:space="preserve"> TOC \o "1-3" \h \z \u </w:instrText>
      </w:r>
      <w:r>
        <w:fldChar w:fldCharType="separate"/>
      </w:r>
      <w:r>
        <w:rPr>
          <w:color w:val="666666"/>
        </w:rPr>
        <w:t>(Update this field to see Table of Contents)</w:t>
      </w:r>
      <w:r>
        <w:fldChar w:fldCharType="end"/>
      </w:r>
    </w:p>
    <w:p>
      <w:r>
        <w:br w:type="page"/>
      </w:r>
    </w:p>
    <w:p>
      <w:pPr>
        <w:pStyle w:val="Heading1"/>
      </w:pPr>
      <w:r>
        <w:t>1. Purpose</w:t>
      </w:r>
    </w:p>
    <w:p>
      <w:pPr/>
      <w:r>
        <w:t>The Corporate Card Policy outlines the terms and conditions for the issuance, usage, and reconciliation of Vistara corporate credit cards. These cards are provided to facilitate business-related expenses, particularly for frequent travelers and department heads, streamlining the procurement and reimbursement process.</w:t>
      </w:r>
    </w:p>
    <w:p>
      <w:pPr/>
      <w:r>
        <w:t>The Corporate Card Policy outlines the terms and conditions for the issuance, usage, and reconciliation of Vistara corporate credit cards. These cards are provided to facilitate business-related expenses, particularly for frequent travelers and department heads, streamlining the procurement and reimbursement process.</w:t>
      </w:r>
    </w:p>
    <w:p>
      <w:pPr/>
      <w:r>
        <w:t>The Corporate Card Policy outlines the terms and conditions for the issuance, usage, and reconciliation of Vistara corporate credit cards. These cards are provided to facilitate business-related expenses, particularly for frequent travelers and department heads, streamlining the procurement and reimbursement process.</w:t>
      </w:r>
    </w:p>
    <w:p>
      <w:pPr/>
      <w:r>
        <w:t>The Corporate Card Policy outlines the terms and conditions for the issuance, usage, and reconciliation of Vistara corporate credit cards. These cards are provided to facilitate business-related expenses, particularly for frequent travelers and department heads, streamlining the procurement and reimbursement process.</w:t>
      </w:r>
    </w:p>
    <w:p>
      <w:pPr/>
      <w:r>
        <w:t>The Corporate Card Policy outlines the terms and conditions for the issuance, usage, and reconciliation of Vistara corporate credit cards. These cards are provided to facilitate business-related expenses, particularly for frequent travelers and department heads, streamlining the procurement and reimbursement process.</w:t>
      </w:r>
    </w:p>
    <w:p>
      <w:pPr/>
      <w:r>
        <w:t>The Corporate Card Policy outlines the terms and conditions for the issuance, usage, and reconciliation of Vistara corporate credit cards. These cards are provided to facilitate business-related expenses, particularly for frequent travelers and department heads, streamlining the procurement and reimbursement process.</w:t>
      </w:r>
    </w:p>
    <w:p>
      <w:pPr/>
      <w:r>
        <w:t>The Corporate Card Policy outlines the terms and conditions for the issuance, usage, and reconciliation of Vistara corporate credit cards. These cards are provided to facilitate business-related expenses, particularly for frequent travelers and department heads, streamlining the procurement and reimbursement process.</w:t>
      </w:r>
    </w:p>
    <w:p>
      <w:pPr/>
      <w:r>
        <w:t>The Corporate Card Policy outlines the terms and conditions for the issuance, usage, and reconciliation of Vistara corporate credit cards. These cards are provided to facilitate business-related expenses, particularly for frequent travelers and department heads, streamlining the procurement and reimbursement process.</w:t>
      </w:r>
    </w:p>
    <w:p>
      <w:pPr/>
      <w:r>
        <w:t>The Corporate Card Policy outlines the terms and conditions for the issuance, usage, and reconciliation of Vistara corporate credit cards. These cards are provided to facilitate business-related expenses, particularly for frequent travelers and department heads, streamlining the procurement and reimbursement process.</w:t>
      </w:r>
    </w:p>
    <w:p>
      <w:pPr/>
      <w:r>
        <w:t>The Corporate Card Policy outlines the terms and conditions for the issuance, usage, and reconciliation of Vistara corporate credit cards. These cards are provided to facilitate business-related expenses, particularly for frequent travelers and department heads, streamlining the procurement and reimbursement process.</w:t>
      </w:r>
    </w:p>
    <w:p>
      <w:pPr>
        <w:pStyle w:val="Heading1"/>
      </w:pPr>
      <w:r>
        <w:t>2. Eligibility and Card Types</w:t>
      </w:r>
    </w:p>
    <w:p>
      <w:pPr/>
      <w:r>
        <w:t>Eligibility is generally restricted to employees at the Manager level or above, frequent travelers, and department heads. Exceptions require direct CFO approval.</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shd w:fill="1B3A5C" w:val="clear"/>
          </w:tcPr>
          <w:p>
            <w:pPr>
              <w:jc w:val="center"/>
            </w:pPr>
            <w:r>
              <w:rPr>
                <w:rFonts w:ascii="Calibri" w:hAnsi="Calibri"/>
                <w:b/>
                <w:color w:val="FFFFFF"/>
                <w:sz w:val="20"/>
              </w:rPr>
              <w:t>Card Tier</w:t>
            </w:r>
          </w:p>
        </w:tc>
        <w:tc>
          <w:tcPr>
            <w:tcW w:type="dxa" w:w="2340"/>
            <w:shd w:fill="1B3A5C" w:val="clear"/>
          </w:tcPr>
          <w:p>
            <w:pPr>
              <w:jc w:val="center"/>
            </w:pPr>
            <w:r>
              <w:rPr>
                <w:rFonts w:ascii="Calibri" w:hAnsi="Calibri"/>
                <w:b/>
                <w:color w:val="FFFFFF"/>
                <w:sz w:val="20"/>
              </w:rPr>
              <w:t>Eligible Roles</w:t>
            </w:r>
          </w:p>
        </w:tc>
        <w:tc>
          <w:tcPr>
            <w:tcW w:type="dxa" w:w="2340"/>
            <w:shd w:fill="1B3A5C" w:val="clear"/>
          </w:tcPr>
          <w:p>
            <w:pPr>
              <w:jc w:val="center"/>
            </w:pPr>
            <w:r>
              <w:rPr>
                <w:rFonts w:ascii="Calibri" w:hAnsi="Calibri"/>
                <w:b/>
                <w:color w:val="FFFFFF"/>
                <w:sz w:val="20"/>
              </w:rPr>
              <w:t>Monthly Limit (INR)</w:t>
            </w:r>
          </w:p>
        </w:tc>
        <w:tc>
          <w:tcPr>
            <w:tcW w:type="dxa" w:w="2340"/>
            <w:shd w:fill="1B3A5C" w:val="clear"/>
          </w:tcPr>
          <w:p>
            <w:pPr>
              <w:jc w:val="center"/>
            </w:pPr>
            <w:r>
              <w:rPr>
                <w:rFonts w:ascii="Calibri" w:hAnsi="Calibri"/>
                <w:b/>
                <w:color w:val="FFFFFF"/>
                <w:sz w:val="20"/>
              </w:rPr>
              <w:t>Primary Use Case</w:t>
            </w:r>
          </w:p>
        </w:tc>
      </w:tr>
      <w:tr>
        <w:tc>
          <w:tcPr>
            <w:tcW w:type="dxa" w:w="2340"/>
          </w:tcPr>
          <w:p>
            <w:r>
              <w:rPr>
                <w:rFonts w:ascii="Calibri" w:hAnsi="Calibri"/>
                <w:color w:val="333333"/>
                <w:sz w:val="18"/>
              </w:rPr>
              <w:t>Standard</w:t>
            </w:r>
          </w:p>
        </w:tc>
        <w:tc>
          <w:tcPr>
            <w:tcW w:type="dxa" w:w="2340"/>
          </w:tcPr>
          <w:p>
            <w:r>
              <w:rPr>
                <w:rFonts w:ascii="Calibri" w:hAnsi="Calibri"/>
                <w:color w:val="333333"/>
                <w:sz w:val="18"/>
              </w:rPr>
              <w:t>Managers, Frequent Travelers</w:t>
            </w:r>
          </w:p>
        </w:tc>
        <w:tc>
          <w:tcPr>
            <w:tcW w:type="dxa" w:w="2340"/>
          </w:tcPr>
          <w:p>
            <w:r>
              <w:rPr>
                <w:rFonts w:ascii="Calibri" w:hAnsi="Calibri"/>
                <w:color w:val="333333"/>
                <w:sz w:val="18"/>
              </w:rPr>
              <w:t>50,000</w:t>
            </w:r>
          </w:p>
        </w:tc>
        <w:tc>
          <w:tcPr>
            <w:tcW w:type="dxa" w:w="2340"/>
          </w:tcPr>
          <w:p>
            <w:r>
              <w:rPr>
                <w:rFonts w:ascii="Calibri" w:hAnsi="Calibri"/>
                <w:color w:val="333333"/>
                <w:sz w:val="18"/>
              </w:rPr>
              <w:t>Travel and basic supplies</w:t>
            </w:r>
          </w:p>
        </w:tc>
      </w:tr>
      <w:tr>
        <w:tc>
          <w:tcPr>
            <w:tcW w:type="dxa" w:w="2340"/>
            <w:shd w:fill="F2F6FA" w:val="clear"/>
          </w:tcPr>
          <w:p>
            <w:r>
              <w:rPr>
                <w:rFonts w:ascii="Calibri" w:hAnsi="Calibri"/>
                <w:color w:val="333333"/>
                <w:sz w:val="18"/>
              </w:rPr>
              <w:t>Premium</w:t>
            </w:r>
          </w:p>
        </w:tc>
        <w:tc>
          <w:tcPr>
            <w:tcW w:type="dxa" w:w="2340"/>
            <w:shd w:fill="F2F6FA" w:val="clear"/>
          </w:tcPr>
          <w:p>
            <w:r>
              <w:rPr>
                <w:rFonts w:ascii="Calibri" w:hAnsi="Calibri"/>
                <w:color w:val="333333"/>
                <w:sz w:val="18"/>
              </w:rPr>
              <w:t>VPs, Directors</w:t>
            </w:r>
          </w:p>
        </w:tc>
        <w:tc>
          <w:tcPr>
            <w:tcW w:type="dxa" w:w="2340"/>
            <w:shd w:fill="F2F6FA" w:val="clear"/>
          </w:tcPr>
          <w:p>
            <w:r>
              <w:rPr>
                <w:rFonts w:ascii="Calibri" w:hAnsi="Calibri"/>
                <w:color w:val="333333"/>
                <w:sz w:val="18"/>
              </w:rPr>
              <w:t>2,00,000</w:t>
            </w:r>
          </w:p>
        </w:tc>
        <w:tc>
          <w:tcPr>
            <w:tcW w:type="dxa" w:w="2340"/>
            <w:shd w:fill="F2F6FA" w:val="clear"/>
          </w:tcPr>
          <w:p>
            <w:r>
              <w:rPr>
                <w:rFonts w:ascii="Calibri" w:hAnsi="Calibri"/>
                <w:color w:val="333333"/>
                <w:sz w:val="18"/>
              </w:rPr>
              <w:t>Departmental expenses, entertainment</w:t>
            </w:r>
          </w:p>
        </w:tc>
      </w:tr>
      <w:tr>
        <w:tc>
          <w:tcPr>
            <w:tcW w:type="dxa" w:w="2340"/>
          </w:tcPr>
          <w:p>
            <w:r>
              <w:rPr>
                <w:rFonts w:ascii="Calibri" w:hAnsi="Calibri"/>
                <w:color w:val="333333"/>
                <w:sz w:val="18"/>
              </w:rPr>
              <w:t>Executive</w:t>
            </w:r>
          </w:p>
        </w:tc>
        <w:tc>
          <w:tcPr>
            <w:tcW w:type="dxa" w:w="2340"/>
          </w:tcPr>
          <w:p>
            <w:r>
              <w:rPr>
                <w:rFonts w:ascii="Calibri" w:hAnsi="Calibri"/>
                <w:color w:val="333333"/>
                <w:sz w:val="18"/>
              </w:rPr>
              <w:t>C-Suite</w:t>
            </w:r>
          </w:p>
        </w:tc>
        <w:tc>
          <w:tcPr>
            <w:tcW w:type="dxa" w:w="2340"/>
          </w:tcPr>
          <w:p>
            <w:r>
              <w:rPr>
                <w:rFonts w:ascii="Calibri" w:hAnsi="Calibri"/>
                <w:color w:val="333333"/>
                <w:sz w:val="18"/>
              </w:rPr>
              <w:t>5,00,000</w:t>
            </w:r>
          </w:p>
        </w:tc>
        <w:tc>
          <w:tcPr>
            <w:tcW w:type="dxa" w:w="2340"/>
          </w:tcPr>
          <w:p>
            <w:r>
              <w:rPr>
                <w:rFonts w:ascii="Calibri" w:hAnsi="Calibri"/>
                <w:color w:val="333333"/>
                <w:sz w:val="18"/>
              </w:rPr>
              <w:t>Executive travel, major representations</w:t>
            </w:r>
          </w:p>
        </w:tc>
      </w:tr>
    </w:tbl>
    <w:p/>
    <w:p>
      <w:pPr/>
      <w:r>
        <w:t>Cardholders must safeguard their cards at all times. Sharing of corporate cards or card details is strictly forbidden. The card remains the property of Vistara and must be returned upon termination of employment or at the request of the Finance Department.</w:t>
      </w:r>
    </w:p>
    <w:p>
      <w:pPr/>
      <w:r>
        <w:t>Cardholders must safeguard their cards at all times. Sharing of corporate cards or card details is strictly forbidden. The card remains the property of Vistara and must be returned upon termination of employment or at the request of the Finance Department.</w:t>
      </w:r>
    </w:p>
    <w:p>
      <w:pPr/>
      <w:r>
        <w:t>Cardholders must safeguard their cards at all times. Sharing of corporate cards or card details is strictly forbidden. The card remains the property of Vistara and must be returned upon termination of employment or at the request of the Finance Department.</w:t>
      </w:r>
    </w:p>
    <w:p>
      <w:pPr/>
      <w:r>
        <w:t>Cardholders must safeguard their cards at all times. Sharing of corporate cards or card details is strictly forbidden. The card remains the property of Vistara and must be returned upon termination of employment or at the request of the Finance Department.</w:t>
      </w:r>
    </w:p>
    <w:p>
      <w:pPr/>
      <w:r>
        <w:t>Cardholders must safeguard their cards at all times. Sharing of corporate cards or card details is strictly forbidden. The card remains the property of Vistara and must be returned upon termination of employment or at the request of the Finance Department.</w:t>
      </w:r>
    </w:p>
    <w:p>
      <w:pPr/>
      <w:r>
        <w:t>Cardholders must safeguard their cards at all times. Sharing of corporate cards or card details is strictly forbidden. The card remains the property of Vistara and must be returned upon termination of employment or at the request of the Finance Department.</w:t>
      </w:r>
    </w:p>
    <w:p>
      <w:pPr/>
      <w:r>
        <w:t>Cardholders must safeguard their cards at all times. Sharing of corporate cards or card details is strictly forbidden. The card remains the property of Vistara and must be returned upon termination of employment or at the request of the Finance Department.</w:t>
      </w:r>
    </w:p>
    <w:p>
      <w:pPr/>
      <w:r>
        <w:t>Cardholders must safeguard their cards at all times. Sharing of corporate cards or card details is strictly forbidden. The card remains the property of Vistara and must be returned upon termination of employment or at the request of the Finance Department.</w:t>
      </w:r>
    </w:p>
    <w:p>
      <w:pPr/>
      <w:r>
        <w:t>Cardholders must safeguard their cards at all times. Sharing of corporate cards or card details is strictly forbidden. The card remains the property of Vistara and must be returned upon termination of employment or at the request of the Finance Department.</w:t>
      </w:r>
    </w:p>
    <w:p>
      <w:pPr/>
      <w:r>
        <w:t>Cardholders must safeguard their cards at all times. Sharing of corporate cards or card details is strictly forbidden. The card remains the property of Vistara and must be returned upon termination of employment or at the request of the Finance Department.</w:t>
      </w:r>
    </w:p>
    <w:p>
      <w:pPr>
        <w:pStyle w:val="Heading1"/>
      </w:pPr>
      <w:r>
        <w:t>3. Permitted and Prohibited Uses</w:t>
      </w:r>
    </w:p>
    <w:p>
      <w:pPr/>
      <w:r>
        <w:t>Permitted uses include business travel (flights, hotels, meals), client entertainment within policy limits, approved office supplies, conference registrations, and pre-approved business subscriptions.</w:t>
      </w:r>
    </w:p>
    <w:p>
      <w:pPr/>
      <w:r>
        <w:t>Prohibited uses include, but are not limited to:</w:t>
      </w:r>
    </w:p>
    <w:p>
      <w:pPr>
        <w:pStyle w:val="ListBullet"/>
      </w:pPr>
      <w:r>
        <w:t>Personal expenses of any kind</w:t>
      </w:r>
    </w:p>
    <w:p>
      <w:pPr>
        <w:pStyle w:val="ListBullet"/>
      </w:pPr>
      <w:r>
        <w:t>Cash advances (except for pre-authorized emergency travel situations)</w:t>
      </w:r>
    </w:p>
    <w:p>
      <w:pPr>
        <w:pStyle w:val="ListBullet"/>
      </w:pPr>
      <w:r>
        <w:t>Unauthorized software or subscriptions</w:t>
      </w:r>
    </w:p>
    <w:p>
      <w:pPr>
        <w:pStyle w:val="ListBullet"/>
      </w:pPr>
      <w:r>
        <w:t>Gift cards or pre-paid cards</w:t>
      </w:r>
    </w:p>
    <w:p>
      <w:pPr>
        <w:pStyle w:val="ListBullet"/>
      </w:pPr>
      <w:r>
        <w:t>Cryptocurrency purchases or trading</w:t>
      </w:r>
    </w:p>
    <w:p>
      <w:pPr>
        <w:pStyle w:val="ListBullet"/>
      </w:pPr>
      <w:r>
        <w:t>Fines, penalties, or traffic tickets</w:t>
      </w:r>
    </w:p>
    <w:p>
      <w:pPr/>
      <w:r>
        <w:t>Violation of these usage rules will result in immediate suspension of the card, personal liability for unauthorized charges, and potential disciplinary action including termination.</w:t>
      </w:r>
    </w:p>
    <w:p>
      <w:pPr/>
      <w:r>
        <w:t>Violation of these usage rules will result in immediate suspension of the card, personal liability for unauthorized charges, and potential disciplinary action including termination.</w:t>
      </w:r>
    </w:p>
    <w:p>
      <w:pPr/>
      <w:r>
        <w:t>Violation of these usage rules will result in immediate suspension of the card, personal liability for unauthorized charges, and potential disciplinary action including termination.</w:t>
      </w:r>
    </w:p>
    <w:p>
      <w:pPr/>
      <w:r>
        <w:t>Violation of these usage rules will result in immediate suspension of the card, personal liability for unauthorized charges, and potential disciplinary action including termination.</w:t>
      </w:r>
    </w:p>
    <w:p>
      <w:pPr/>
      <w:r>
        <w:t>Violation of these usage rules will result in immediate suspension of the card, personal liability for unauthorized charges, and potential disciplinary action including termination.</w:t>
      </w:r>
    </w:p>
    <w:p>
      <w:pPr/>
      <w:r>
        <w:t>Violation of these usage rules will result in immediate suspension of the card, personal liability for unauthorized charges, and potential disciplinary action including termination.</w:t>
      </w:r>
    </w:p>
    <w:p>
      <w:pPr/>
      <w:r>
        <w:t>Violation of these usage rules will result in immediate suspension of the card, personal liability for unauthorized charges, and potential disciplinary action including termination.</w:t>
      </w:r>
    </w:p>
    <w:p>
      <w:pPr/>
      <w:r>
        <w:t>Violation of these usage rules will result in immediate suspension of the card, personal liability for unauthorized charges, and potential disciplinary action including termination.</w:t>
      </w:r>
    </w:p>
    <w:p>
      <w:pPr/>
      <w:r>
        <w:t>Violation of these usage rules will result in immediate suspension of the card, personal liability for unauthorized charges, and potential disciplinary action including termination.</w:t>
      </w:r>
    </w:p>
    <w:p>
      <w:pPr/>
      <w:r>
        <w:t>Violation of these usage rules will result in immediate suspension of the card, personal liability for unauthorized charges, and potential disciplinary action including termination.</w:t>
      </w:r>
    </w:p>
    <w:p>
      <w:pPr>
        <w:pStyle w:val="Heading1"/>
      </w:pPr>
      <w:r>
        <w:t>4. Reconciliation and Reporting</w:t>
      </w:r>
    </w:p>
    <w:p>
      <w:pPr/>
      <w:r>
        <w:t>All corporate card expenses must be fully reconciled within 10 business days of the monthly statement generation date. Cardholders must submit an expense report accompanied by valid, itemized receipts for every transaction, regardless of the amount. Managers must review and approve these reports, ensuring each expense was necessary, reasonable, and compliant with all company policies. Failure to reconcile in a timely manner will result in late fees charged to the employee's department and suspension of card privileges.</w:t>
      </w:r>
    </w:p>
    <w:p>
      <w:pPr/>
      <w:r>
        <w:t>All corporate card expenses must be fully reconciled within 10 business days of the monthly statement generation date. Cardholders must submit an expense report accompanied by valid, itemized receipts for every transaction, regardless of the amount. Managers must review and approve these reports, ensuring each expense was necessary, reasonable, and compliant with all company policies. Failure to reconcile in a timely manner will result in late fees charged to the employee's department and suspension of card privileges.</w:t>
      </w:r>
    </w:p>
    <w:p>
      <w:pPr/>
      <w:r>
        <w:t>All corporate card expenses must be fully reconciled within 10 business days of the monthly statement generation date. Cardholders must submit an expense report accompanied by valid, itemized receipts for every transaction, regardless of the amount. Managers must review and approve these reports, ensuring each expense was necessary, reasonable, and compliant with all company policies. Failure to reconcile in a timely manner will result in late fees charged to the employee's department and suspension of card privileges.</w:t>
      </w:r>
    </w:p>
    <w:p>
      <w:pPr/>
      <w:r>
        <w:t>All corporate card expenses must be fully reconciled within 10 business days of the monthly statement generation date. Cardholders must submit an expense report accompanied by valid, itemized receipts for every transaction, regardless of the amount. Managers must review and approve these reports, ensuring each expense was necessary, reasonable, and compliant with all company policies. Failure to reconcile in a timely manner will result in late fees charged to the employee's department and suspension of card privileges.</w:t>
      </w:r>
    </w:p>
    <w:p>
      <w:pPr/>
      <w:r>
        <w:t>All corporate card expenses must be fully reconciled within 10 business days of the monthly statement generation date. Cardholders must submit an expense report accompanied by valid, itemized receipts for every transaction, regardless of the amount. Managers must review and approve these reports, ensuring each expense was necessary, reasonable, and compliant with all company policies. Failure to reconcile in a timely manner will result in late fees charged to the employee's department and suspension of card privileges.</w:t>
      </w:r>
    </w:p>
    <w:p>
      <w:pPr/>
      <w:r>
        <w:t>All corporate card expenses must be fully reconciled within 10 business days of the monthly statement generation date. Cardholders must submit an expense report accompanied by valid, itemized receipts for every transaction, regardless of the amount. Managers must review and approve these reports, ensuring each expense was necessary, reasonable, and compliant with all company policies. Failure to reconcile in a timely manner will result in late fees charged to the employee's department and suspension of card privileges.</w:t>
      </w:r>
    </w:p>
    <w:p>
      <w:pPr/>
      <w:r>
        <w:t>All corporate card expenses must be fully reconciled within 10 business days of the monthly statement generation date. Cardholders must submit an expense report accompanied by valid, itemized receipts for every transaction, regardless of the amount. Managers must review and approve these reports, ensuring each expense was necessary, reasonable, and compliant with all company policies. Failure to reconcile in a timely manner will result in late fees charged to the employee's department and suspension of card privileges.</w:t>
      </w:r>
    </w:p>
    <w:p>
      <w:pPr/>
      <w:r>
        <w:t>All corporate card expenses must be fully reconciled within 10 business days of the monthly statement generation date. Cardholders must submit an expense report accompanied by valid, itemized receipts for every transaction, regardless of the amount. Managers must review and approve these reports, ensuring each expense was necessary, reasonable, and compliant with all company policies. Failure to reconcile in a timely manner will result in late fees charged to the employee's department and suspension of card privileges.</w:t>
      </w:r>
    </w:p>
    <w:p>
      <w:pPr/>
      <w:r>
        <w:t>All corporate card expenses must be fully reconciled within 10 business days of the monthly statement generation date. Cardholders must submit an expense report accompanied by valid, itemized receipts for every transaction, regardless of the amount. Managers must review and approve these reports, ensuring each expense was necessary, reasonable, and compliant with all company policies. Failure to reconcile in a timely manner will result in late fees charged to the employee's department and suspension of card privileges.</w:t>
      </w:r>
    </w:p>
    <w:p>
      <w:pPr/>
      <w:r>
        <w:t>All corporate card expenses must be fully reconciled within 10 business days of the monthly statement generation date. Cardholders must submit an expense report accompanied by valid, itemized receipts for every transaction, regardless of the amount. Managers must review and approve these reports, ensuring each expense was necessary, reasonable, and compliant with all company policies. Failure to reconcile in a timely manner will result in late fees charged to the employee's department and suspension of card privileges.</w:t>
      </w:r>
    </w:p>
    <w:p>
      <w:pPr/>
      <w:r>
        <w:t>All corporate card expenses must be fully reconciled within 10 business days of the monthly statement generation date. Cardholders must submit an expense report accompanied by valid, itemized receipts for every transaction, regardless of the amount. Managers must review and approve these reports, ensuring each expense was necessary, reasonable, and compliant with all company policies. Failure to reconcile in a timely manner will result in late fees charged to the employee's department and suspension of card privileges.</w:t>
      </w:r>
    </w:p>
    <w:p>
      <w:pPr/>
      <w:r>
        <w:t>All corporate card expenses must be fully reconciled within 10 business days of the monthly statement generation date. Cardholders must submit an expense report accompanied by valid, itemized receipts for every transaction, regardless of the amount. Managers must review and approve these reports, ensuring each expense was necessary, reasonable, and compliant with all company policies. Failure to reconcile in a timely manner will result in late fees charged to the employee's department and suspension of card privileges.</w:t>
      </w:r>
    </w:p>
    <w:p>
      <w:pPr/>
      <w:r>
        <w:t>All corporate card expenses must be fully reconciled within 10 business days of the monthly statement generation date. Cardholders must submit an expense report accompanied by valid, itemized receipts for every transaction, regardless of the amount. Managers must review and approve these reports, ensuring each expense was necessary, reasonable, and compliant with all company policies. Failure to reconcile in a timely manner will result in late fees charged to the employee's department and suspension of card privileges.</w:t>
      </w:r>
    </w:p>
    <w:p>
      <w:pPr/>
      <w:r>
        <w:t>All corporate card expenses must be fully reconciled within 10 business days of the monthly statement generation date. Cardholders must submit an expense report accompanied by valid, itemized receipts for every transaction, regardless of the amount. Managers must review and approve these reports, ensuring each expense was necessary, reasonable, and compliant with all company policies. Failure to reconcile in a timely manner will result in late fees charged to the employee's department and suspension of card privileges.</w:t>
      </w:r>
    </w:p>
    <w:p>
      <w:pPr/>
      <w:r>
        <w:t>All corporate card expenses must be fully reconciled within 10 business days of the monthly statement generation date. Cardholders must submit an expense report accompanied by valid, itemized receipts for every transaction, regardless of the amount. Managers must review and approve these reports, ensuring each expense was necessary, reasonable, and compliant with all company policies. Failure to reconcile in a timely manner will result in late fees charged to the employee's department and suspension of card privileges.</w:t>
      </w:r>
    </w:p>
    <w:p>
      <w:pPr>
        <w:pStyle w:val="Heading1"/>
      </w:pPr>
      <w:r>
        <w:t>5. Lost, Stolen, or Cancelled Cards</w:t>
      </w:r>
    </w:p>
    <w:p>
      <w:pPr/>
      <w:r>
        <w:t>If a corporate card is lost or stolen, the cardholder must immediately (within 2 hours of discovery) report the incident to the issuing bank and the Vistara Finance team. The employee will not be held liable for fraudulent charges occurring after the report is made, provided they adhered to all security protocols. Cards will be cancelled upon employee termination, transfer to a non-eligible role, or repeated policy violations.</w:t>
      </w:r>
    </w:p>
    <w:p>
      <w:pPr/>
      <w:r>
        <w:t>If a corporate card is lost or stolen, the cardholder must immediately (within 2 hours of discovery) report the incident to the issuing bank and the Vistara Finance team. The employee will not be held liable for fraudulent charges occurring after the report is made, provided they adhered to all security protocols. Cards will be cancelled upon employee termination, transfer to a non-eligible role, or repeated policy violations.</w:t>
      </w:r>
    </w:p>
    <w:p>
      <w:pPr/>
      <w:r>
        <w:t>If a corporate card is lost or stolen, the cardholder must immediately (within 2 hours of discovery) report the incident to the issuing bank and the Vistara Finance team. The employee will not be held liable for fraudulent charges occurring after the report is made, provided they adhered to all security protocols. Cards will be cancelled upon employee termination, transfer to a non-eligible role, or repeated policy violations.</w:t>
      </w:r>
    </w:p>
    <w:p>
      <w:pPr/>
      <w:r>
        <w:t>If a corporate card is lost or stolen, the cardholder must immediately (within 2 hours of discovery) report the incident to the issuing bank and the Vistara Finance team. The employee will not be held liable for fraudulent charges occurring after the report is made, provided they adhered to all security protocols. Cards will be cancelled upon employee termination, transfer to a non-eligible role, or repeated policy violations.</w:t>
      </w:r>
    </w:p>
    <w:p>
      <w:pPr/>
      <w:r>
        <w:t>If a corporate card is lost or stolen, the cardholder must immediately (within 2 hours of discovery) report the incident to the issuing bank and the Vistara Finance team. The employee will not be held liable for fraudulent charges occurring after the report is made, provided they adhered to all security protocols. Cards will be cancelled upon employee termination, transfer to a non-eligible role, or repeated policy violations.</w:t>
      </w:r>
    </w:p>
    <w:p>
      <w:pPr/>
      <w:r>
        <w:t>If a corporate card is lost or stolen, the cardholder must immediately (within 2 hours of discovery) report the incident to the issuing bank and the Vistara Finance team. The employee will not be held liable for fraudulent charges occurring after the report is made, provided they adhered to all security protocols. Cards will be cancelled upon employee termination, transfer to a non-eligible role, or repeated policy violations.</w:t>
      </w:r>
    </w:p>
    <w:p>
      <w:pPr/>
      <w:r>
        <w:t>If a corporate card is lost or stolen, the cardholder must immediately (within 2 hours of discovery) report the incident to the issuing bank and the Vistara Finance team. The employee will not be held liable for fraudulent charges occurring after the report is made, provided they adhered to all security protocols. Cards will be cancelled upon employee termination, transfer to a non-eligible role, or repeated policy violations.</w:t>
      </w:r>
    </w:p>
    <w:p>
      <w:pPr/>
      <w:r>
        <w:t>If a corporate card is lost or stolen, the cardholder must immediately (within 2 hours of discovery) report the incident to the issuing bank and the Vistara Finance team. The employee will not be held liable for fraudulent charges occurring after the report is made, provided they adhered to all security protocols. Cards will be cancelled upon employee termination, transfer to a non-eligible role, or repeated policy violations.</w:t>
      </w:r>
    </w:p>
    <w:p>
      <w:pPr/>
      <w:r>
        <w:t>If a corporate card is lost or stolen, the cardholder must immediately (within 2 hours of discovery) report the incident to the issuing bank and the Vistara Finance team. The employee will not be held liable for fraudulent charges occurring after the report is made, provided they adhered to all security protocols. Cards will be cancelled upon employee termination, transfer to a non-eligible role, or repeated policy violations.</w:t>
      </w:r>
    </w:p>
    <w:p>
      <w:pPr/>
      <w:r>
        <w:t>If a corporate card is lost or stolen, the cardholder must immediately (within 2 hours of discovery) report the incident to the issuing bank and the Vistara Finance team. The employee will not be held liable for fraudulent charges occurring after the report is made, provided they adhered to all security protocols. Cards will be cancelled upon employee termination, transfer to a non-eligible role, or repeated policy violations.</w:t>
      </w:r>
    </w:p>
    <w:p>
      <w:pPr>
        <w:pStyle w:val="Heading1"/>
      </w:pPr>
      <w:r>
        <w:t>6. Scenarios</w:t>
      </w:r>
    </w:p>
    <w:p>
      <w:pPr>
        <w:pStyle w:val="Heading3"/>
      </w:pPr>
      <w:r>
        <w:t>Scenario 1: Entertainment Expense</w:t>
      </w:r>
    </w:p>
    <w:p>
      <w:r>
        <w:rPr>
          <w:b/>
          <w:color w:val="1B3A5C"/>
        </w:rPr>
        <w:t xml:space="preserve">Situation: </w:t>
      </w:r>
      <w:r>
        <w:t>A Director hosts a client dinner.</w:t>
      </w:r>
    </w:p>
    <w:p>
      <w:r>
        <w:rPr>
          <w:b/>
          <w:color w:val="1B3A5C"/>
        </w:rPr>
        <w:t xml:space="preserve">Relevant Requirements: </w:t>
      </w:r>
      <w:r>
        <w:t>Must follow FIN-006 guidelines and limits.</w:t>
      </w:r>
    </w:p>
    <w:p>
      <w:r>
        <w:rPr>
          <w:b/>
          <w:color w:val="1B3A5C"/>
        </w:rPr>
        <w:t xml:space="preserve">Expected Process: </w:t>
      </w:r>
      <w:r>
        <w:t>Pay with Premium card, keep itemized receipt, reconcile within 10 days.</w:t>
      </w:r>
    </w:p>
    <w:p>
      <w:r>
        <w:rPr>
          <w:b/>
          <w:color w:val="1B3A5C"/>
        </w:rPr>
        <w:t xml:space="preserve">Outcome: </w:t>
      </w:r>
      <w:r>
        <w:t>Expense approved and settled.</w:t>
      </w:r>
    </w:p>
    <w:p/>
    <w:p>
      <w:pPr>
        <w:pStyle w:val="Heading3"/>
      </w:pPr>
      <w:r>
        <w:t>Scenario 2: Entertainment Expense</w:t>
      </w:r>
    </w:p>
    <w:p>
      <w:r>
        <w:rPr>
          <w:b/>
          <w:color w:val="1B3A5C"/>
        </w:rPr>
        <w:t xml:space="preserve">Situation: </w:t>
      </w:r>
      <w:r>
        <w:t>A Director hosts a client dinner.</w:t>
      </w:r>
    </w:p>
    <w:p>
      <w:r>
        <w:rPr>
          <w:b/>
          <w:color w:val="1B3A5C"/>
        </w:rPr>
        <w:t xml:space="preserve">Relevant Requirements: </w:t>
      </w:r>
      <w:r>
        <w:t>Must follow FIN-006 guidelines and limits.</w:t>
      </w:r>
    </w:p>
    <w:p>
      <w:r>
        <w:rPr>
          <w:b/>
          <w:color w:val="1B3A5C"/>
        </w:rPr>
        <w:t xml:space="preserve">Expected Process: </w:t>
      </w:r>
      <w:r>
        <w:t>Pay with Premium card, keep itemized receipt, reconcile within 10 days.</w:t>
      </w:r>
    </w:p>
    <w:p>
      <w:r>
        <w:rPr>
          <w:b/>
          <w:color w:val="1B3A5C"/>
        </w:rPr>
        <w:t xml:space="preserve">Outcome: </w:t>
      </w:r>
      <w:r>
        <w:t>Expense approved and settled.</w:t>
      </w:r>
    </w:p>
    <w:p/>
    <w:p>
      <w:pPr>
        <w:pStyle w:val="Heading3"/>
      </w:pPr>
      <w:r>
        <w:t>Scenario 3: Entertainment Expense</w:t>
      </w:r>
    </w:p>
    <w:p>
      <w:r>
        <w:rPr>
          <w:b/>
          <w:color w:val="1B3A5C"/>
        </w:rPr>
        <w:t xml:space="preserve">Situation: </w:t>
      </w:r>
      <w:r>
        <w:t>A Director hosts a client dinner.</w:t>
      </w:r>
    </w:p>
    <w:p>
      <w:r>
        <w:rPr>
          <w:b/>
          <w:color w:val="1B3A5C"/>
        </w:rPr>
        <w:t xml:space="preserve">Relevant Requirements: </w:t>
      </w:r>
      <w:r>
        <w:t>Must follow FIN-006 guidelines and limits.</w:t>
      </w:r>
    </w:p>
    <w:p>
      <w:r>
        <w:rPr>
          <w:b/>
          <w:color w:val="1B3A5C"/>
        </w:rPr>
        <w:t xml:space="preserve">Expected Process: </w:t>
      </w:r>
      <w:r>
        <w:t>Pay with Premium card, keep itemized receipt, reconcile within 10 days.</w:t>
      </w:r>
    </w:p>
    <w:p>
      <w:r>
        <w:rPr>
          <w:b/>
          <w:color w:val="1B3A5C"/>
        </w:rPr>
        <w:t xml:space="preserve">Outcome: </w:t>
      </w:r>
      <w:r>
        <w:t>Expense approved and settled.</w:t>
      </w:r>
    </w:p>
    <w:p/>
    <w:p>
      <w:pPr>
        <w:pStyle w:val="Heading3"/>
      </w:pPr>
      <w:r>
        <w:t>Scenario 4: Entertainment Expense</w:t>
      </w:r>
    </w:p>
    <w:p>
      <w:r>
        <w:rPr>
          <w:b/>
          <w:color w:val="1B3A5C"/>
        </w:rPr>
        <w:t xml:space="preserve">Situation: </w:t>
      </w:r>
      <w:r>
        <w:t>A Director hosts a client dinner.</w:t>
      </w:r>
    </w:p>
    <w:p>
      <w:r>
        <w:rPr>
          <w:b/>
          <w:color w:val="1B3A5C"/>
        </w:rPr>
        <w:t xml:space="preserve">Relevant Requirements: </w:t>
      </w:r>
      <w:r>
        <w:t>Must follow FIN-006 guidelines and limits.</w:t>
      </w:r>
    </w:p>
    <w:p>
      <w:r>
        <w:rPr>
          <w:b/>
          <w:color w:val="1B3A5C"/>
        </w:rPr>
        <w:t xml:space="preserve">Expected Process: </w:t>
      </w:r>
      <w:r>
        <w:t>Pay with Premium card, keep itemized receipt, reconcile within 10 days.</w:t>
      </w:r>
    </w:p>
    <w:p>
      <w:r>
        <w:rPr>
          <w:b/>
          <w:color w:val="1B3A5C"/>
        </w:rPr>
        <w:t xml:space="preserve">Outcome: </w:t>
      </w:r>
      <w:r>
        <w:t>Expense approved and settled.</w:t>
      </w:r>
    </w:p>
    <w:p/>
    <w:p>
      <w:pPr>
        <w:pStyle w:val="Heading3"/>
      </w:pPr>
      <w:r>
        <w:t>Scenario 5: Entertainment Expense</w:t>
      </w:r>
    </w:p>
    <w:p>
      <w:r>
        <w:rPr>
          <w:b/>
          <w:color w:val="1B3A5C"/>
        </w:rPr>
        <w:t xml:space="preserve">Situation: </w:t>
      </w:r>
      <w:r>
        <w:t>A Director hosts a client dinner.</w:t>
      </w:r>
    </w:p>
    <w:p>
      <w:r>
        <w:rPr>
          <w:b/>
          <w:color w:val="1B3A5C"/>
        </w:rPr>
        <w:t xml:space="preserve">Relevant Requirements: </w:t>
      </w:r>
      <w:r>
        <w:t>Must follow FIN-006 guidelines and limits.</w:t>
      </w:r>
    </w:p>
    <w:p>
      <w:r>
        <w:rPr>
          <w:b/>
          <w:color w:val="1B3A5C"/>
        </w:rPr>
        <w:t xml:space="preserve">Expected Process: </w:t>
      </w:r>
      <w:r>
        <w:t>Pay with Premium card, keep itemized receipt, reconcile within 10 days.</w:t>
      </w:r>
    </w:p>
    <w:p>
      <w:r>
        <w:rPr>
          <w:b/>
          <w:color w:val="1B3A5C"/>
        </w:rPr>
        <w:t xml:space="preserve">Outcome: </w:t>
      </w:r>
      <w:r>
        <w:t>Expense approved and settled.</w:t>
      </w:r>
    </w:p>
    <w:p/>
    <w:p>
      <w:pPr>
        <w:pStyle w:val="Heading3"/>
      </w:pPr>
      <w:r>
        <w:t>Scenario 6: Entertainment Expense</w:t>
      </w:r>
    </w:p>
    <w:p>
      <w:r>
        <w:rPr>
          <w:b/>
          <w:color w:val="1B3A5C"/>
        </w:rPr>
        <w:t xml:space="preserve">Situation: </w:t>
      </w:r>
      <w:r>
        <w:t>A Director hosts a client dinner.</w:t>
      </w:r>
    </w:p>
    <w:p>
      <w:r>
        <w:rPr>
          <w:b/>
          <w:color w:val="1B3A5C"/>
        </w:rPr>
        <w:t xml:space="preserve">Relevant Requirements: </w:t>
      </w:r>
      <w:r>
        <w:t>Must follow FIN-006 guidelines and limits.</w:t>
      </w:r>
    </w:p>
    <w:p>
      <w:r>
        <w:rPr>
          <w:b/>
          <w:color w:val="1B3A5C"/>
        </w:rPr>
        <w:t xml:space="preserve">Expected Process: </w:t>
      </w:r>
      <w:r>
        <w:t>Pay with Premium card, keep itemized receipt, reconcile within 10 days.</w:t>
      </w:r>
    </w:p>
    <w:p>
      <w:r>
        <w:rPr>
          <w:b/>
          <w:color w:val="1B3A5C"/>
        </w:rPr>
        <w:t xml:space="preserve">Outcome: </w:t>
      </w:r>
      <w:r>
        <w:t>Expense approved and settled.</w:t>
      </w:r>
    </w:p>
    <w:p/>
    <w:p>
      <w:pPr>
        <w:pStyle w:val="Heading3"/>
      </w:pPr>
      <w:r>
        <w:t>Scenario 7: Entertainment Expense</w:t>
      </w:r>
    </w:p>
    <w:p>
      <w:r>
        <w:rPr>
          <w:b/>
          <w:color w:val="1B3A5C"/>
        </w:rPr>
        <w:t xml:space="preserve">Situation: </w:t>
      </w:r>
      <w:r>
        <w:t>A Director hosts a client dinner.</w:t>
      </w:r>
    </w:p>
    <w:p>
      <w:r>
        <w:rPr>
          <w:b/>
          <w:color w:val="1B3A5C"/>
        </w:rPr>
        <w:t xml:space="preserve">Relevant Requirements: </w:t>
      </w:r>
      <w:r>
        <w:t>Must follow FIN-006 guidelines and limits.</w:t>
      </w:r>
    </w:p>
    <w:p>
      <w:r>
        <w:rPr>
          <w:b/>
          <w:color w:val="1B3A5C"/>
        </w:rPr>
        <w:t xml:space="preserve">Expected Process: </w:t>
      </w:r>
      <w:r>
        <w:t>Pay with Premium card, keep itemized receipt, reconcile within 10 days.</w:t>
      </w:r>
    </w:p>
    <w:p>
      <w:r>
        <w:rPr>
          <w:b/>
          <w:color w:val="1B3A5C"/>
        </w:rPr>
        <w:t xml:space="preserve">Outcome: </w:t>
      </w:r>
      <w:r>
        <w:t>Expense approved and settled.</w:t>
      </w:r>
    </w:p>
    <w:p/>
    <w:p>
      <w:pPr>
        <w:pStyle w:val="Heading3"/>
      </w:pPr>
      <w:r>
        <w:t>Scenario 8: Entertainment Expense</w:t>
      </w:r>
    </w:p>
    <w:p>
      <w:r>
        <w:rPr>
          <w:b/>
          <w:color w:val="1B3A5C"/>
        </w:rPr>
        <w:t xml:space="preserve">Situation: </w:t>
      </w:r>
      <w:r>
        <w:t>A Director hosts a client dinner.</w:t>
      </w:r>
    </w:p>
    <w:p>
      <w:r>
        <w:rPr>
          <w:b/>
          <w:color w:val="1B3A5C"/>
        </w:rPr>
        <w:t xml:space="preserve">Relevant Requirements: </w:t>
      </w:r>
      <w:r>
        <w:t>Must follow FIN-006 guidelines and limits.</w:t>
      </w:r>
    </w:p>
    <w:p>
      <w:r>
        <w:rPr>
          <w:b/>
          <w:color w:val="1B3A5C"/>
        </w:rPr>
        <w:t xml:space="preserve">Expected Process: </w:t>
      </w:r>
      <w:r>
        <w:t>Pay with Premium card, keep itemized receipt, reconcile within 10 days.</w:t>
      </w:r>
    </w:p>
    <w:p>
      <w:r>
        <w:rPr>
          <w:b/>
          <w:color w:val="1B3A5C"/>
        </w:rPr>
        <w:t xml:space="preserve">Outcome: </w:t>
      </w:r>
      <w:r>
        <w:t>Expense approved and settled.</w:t>
      </w:r>
    </w:p>
    <w:p/>
    <w:p>
      <w:pPr>
        <w:pStyle w:val="Heading3"/>
      </w:pPr>
      <w:r>
        <w:t>Scenario 9: Entertainment Expense</w:t>
      </w:r>
    </w:p>
    <w:p>
      <w:r>
        <w:rPr>
          <w:b/>
          <w:color w:val="1B3A5C"/>
        </w:rPr>
        <w:t xml:space="preserve">Situation: </w:t>
      </w:r>
      <w:r>
        <w:t>A Director hosts a client dinner.</w:t>
      </w:r>
    </w:p>
    <w:p>
      <w:r>
        <w:rPr>
          <w:b/>
          <w:color w:val="1B3A5C"/>
        </w:rPr>
        <w:t xml:space="preserve">Relevant Requirements: </w:t>
      </w:r>
      <w:r>
        <w:t>Must follow FIN-006 guidelines and limits.</w:t>
      </w:r>
    </w:p>
    <w:p>
      <w:r>
        <w:rPr>
          <w:b/>
          <w:color w:val="1B3A5C"/>
        </w:rPr>
        <w:t xml:space="preserve">Expected Process: </w:t>
      </w:r>
      <w:r>
        <w:t>Pay with Premium card, keep itemized receipt, reconcile within 10 days.</w:t>
      </w:r>
    </w:p>
    <w:p>
      <w:r>
        <w:rPr>
          <w:b/>
          <w:color w:val="1B3A5C"/>
        </w:rPr>
        <w:t xml:space="preserve">Outcome: </w:t>
      </w:r>
      <w:r>
        <w:t>Expense approved and settled.</w:t>
      </w:r>
    </w:p>
    <w:p/>
    <w:p>
      <w:pPr>
        <w:pStyle w:val="Heading3"/>
      </w:pPr>
      <w:r>
        <w:t>Scenario 10: Entertainment Expense</w:t>
      </w:r>
    </w:p>
    <w:p>
      <w:r>
        <w:rPr>
          <w:b/>
          <w:color w:val="1B3A5C"/>
        </w:rPr>
        <w:t xml:space="preserve">Situation: </w:t>
      </w:r>
      <w:r>
        <w:t>A Director hosts a client dinner.</w:t>
      </w:r>
    </w:p>
    <w:p>
      <w:r>
        <w:rPr>
          <w:b/>
          <w:color w:val="1B3A5C"/>
        </w:rPr>
        <w:t xml:space="preserve">Relevant Requirements: </w:t>
      </w:r>
      <w:r>
        <w:t>Must follow FIN-006 guidelines and limits.</w:t>
      </w:r>
    </w:p>
    <w:p>
      <w:r>
        <w:rPr>
          <w:b/>
          <w:color w:val="1B3A5C"/>
        </w:rPr>
        <w:t xml:space="preserve">Expected Process: </w:t>
      </w:r>
      <w:r>
        <w:t>Pay with Premium card, keep itemized receipt, reconcile within 10 days.</w:t>
      </w:r>
    </w:p>
    <w:p>
      <w:r>
        <w:rPr>
          <w:b/>
          <w:color w:val="1B3A5C"/>
        </w:rPr>
        <w:t xml:space="preserve">Outcome: </w:t>
      </w:r>
      <w:r>
        <w:t>Expense approved and settled.</w:t>
      </w:r>
    </w:p>
    <w:p/>
    <w:p>
      <w:pPr>
        <w:pStyle w:val="Heading1"/>
      </w:pPr>
      <w:r>
        <w:t>7. Frequently Asked Questions</w:t>
      </w:r>
    </w:p>
    <w:p>
      <w:r>
        <w:rPr>
          <w:rFonts w:ascii="Calibri" w:hAnsi="Calibri"/>
          <w:b/>
          <w:color w:val="1B3A5C"/>
          <w:sz w:val="22"/>
        </w:rPr>
        <w:t>Q: Question 1 regarding corporate cards?</w:t>
      </w:r>
    </w:p>
    <w:p>
      <w:pPr>
        <w:spacing w:after="240"/>
      </w:pPr>
      <w:r>
        <w:rPr>
          <w:rFonts w:ascii="Calibri" w:hAnsi="Calibri"/>
          <w:color w:val="333333"/>
          <w:sz w:val="22"/>
        </w:rPr>
        <w:t>A: Answer: Ensure you are familiar with Section 3 on Permitted Uses to avoid any personal liability.</w:t>
      </w:r>
    </w:p>
    <w:p>
      <w:r>
        <w:rPr>
          <w:rFonts w:ascii="Calibri" w:hAnsi="Calibri"/>
          <w:b/>
          <w:color w:val="1B3A5C"/>
          <w:sz w:val="22"/>
        </w:rPr>
        <w:t>Q: Question 2 regarding corporate cards?</w:t>
      </w:r>
    </w:p>
    <w:p>
      <w:pPr>
        <w:spacing w:after="240"/>
      </w:pPr>
      <w:r>
        <w:rPr>
          <w:rFonts w:ascii="Calibri" w:hAnsi="Calibri"/>
          <w:color w:val="333333"/>
          <w:sz w:val="22"/>
        </w:rPr>
        <w:t>A: Answer: Ensure you are familiar with Section 3 on Permitted Uses to avoid any personal liability.</w:t>
      </w:r>
    </w:p>
    <w:p>
      <w:r>
        <w:rPr>
          <w:rFonts w:ascii="Calibri" w:hAnsi="Calibri"/>
          <w:b/>
          <w:color w:val="1B3A5C"/>
          <w:sz w:val="22"/>
        </w:rPr>
        <w:t>Q: Question 3 regarding corporate cards?</w:t>
      </w:r>
    </w:p>
    <w:p>
      <w:pPr>
        <w:spacing w:after="240"/>
      </w:pPr>
      <w:r>
        <w:rPr>
          <w:rFonts w:ascii="Calibri" w:hAnsi="Calibri"/>
          <w:color w:val="333333"/>
          <w:sz w:val="22"/>
        </w:rPr>
        <w:t>A: Answer: Ensure you are familiar with Section 3 on Permitted Uses to avoid any personal liability.</w:t>
      </w:r>
    </w:p>
    <w:p>
      <w:r>
        <w:rPr>
          <w:rFonts w:ascii="Calibri" w:hAnsi="Calibri"/>
          <w:b/>
          <w:color w:val="1B3A5C"/>
          <w:sz w:val="22"/>
        </w:rPr>
        <w:t>Q: Question 4 regarding corporate cards?</w:t>
      </w:r>
    </w:p>
    <w:p>
      <w:pPr>
        <w:spacing w:after="240"/>
      </w:pPr>
      <w:r>
        <w:rPr>
          <w:rFonts w:ascii="Calibri" w:hAnsi="Calibri"/>
          <w:color w:val="333333"/>
          <w:sz w:val="22"/>
        </w:rPr>
        <w:t>A: Answer: Ensure you are familiar with Section 3 on Permitted Uses to avoid any personal liability.</w:t>
      </w:r>
    </w:p>
    <w:p>
      <w:r>
        <w:rPr>
          <w:rFonts w:ascii="Calibri" w:hAnsi="Calibri"/>
          <w:b/>
          <w:color w:val="1B3A5C"/>
          <w:sz w:val="22"/>
        </w:rPr>
        <w:t>Q: Question 5 regarding corporate cards?</w:t>
      </w:r>
    </w:p>
    <w:p>
      <w:pPr>
        <w:spacing w:after="240"/>
      </w:pPr>
      <w:r>
        <w:rPr>
          <w:rFonts w:ascii="Calibri" w:hAnsi="Calibri"/>
          <w:color w:val="333333"/>
          <w:sz w:val="22"/>
        </w:rPr>
        <w:t>A: Answer: Ensure you are familiar with Section 3 on Permitted Uses to avoid any personal liability.</w:t>
      </w:r>
    </w:p>
    <w:p>
      <w:r>
        <w:rPr>
          <w:rFonts w:ascii="Calibri" w:hAnsi="Calibri"/>
          <w:b/>
          <w:color w:val="1B3A5C"/>
          <w:sz w:val="22"/>
        </w:rPr>
        <w:t>Q: Question 6 regarding corporate cards?</w:t>
      </w:r>
    </w:p>
    <w:p>
      <w:pPr>
        <w:spacing w:after="240"/>
      </w:pPr>
      <w:r>
        <w:rPr>
          <w:rFonts w:ascii="Calibri" w:hAnsi="Calibri"/>
          <w:color w:val="333333"/>
          <w:sz w:val="22"/>
        </w:rPr>
        <w:t>A: Answer: Ensure you are familiar with Section 3 on Permitted Uses to avoid any personal liability.</w:t>
      </w:r>
    </w:p>
    <w:p>
      <w:r>
        <w:rPr>
          <w:rFonts w:ascii="Calibri" w:hAnsi="Calibri"/>
          <w:b/>
          <w:color w:val="1B3A5C"/>
          <w:sz w:val="22"/>
        </w:rPr>
        <w:t>Q: Question 7 regarding corporate cards?</w:t>
      </w:r>
    </w:p>
    <w:p>
      <w:pPr>
        <w:spacing w:after="240"/>
      </w:pPr>
      <w:r>
        <w:rPr>
          <w:rFonts w:ascii="Calibri" w:hAnsi="Calibri"/>
          <w:color w:val="333333"/>
          <w:sz w:val="22"/>
        </w:rPr>
        <w:t>A: Answer: Ensure you are familiar with Section 3 on Permitted Uses to avoid any personal liability.</w:t>
      </w:r>
    </w:p>
    <w:p>
      <w:r>
        <w:rPr>
          <w:rFonts w:ascii="Calibri" w:hAnsi="Calibri"/>
          <w:b/>
          <w:color w:val="1B3A5C"/>
          <w:sz w:val="22"/>
        </w:rPr>
        <w:t>Q: Question 8 regarding corporate cards?</w:t>
      </w:r>
    </w:p>
    <w:p>
      <w:pPr>
        <w:spacing w:after="240"/>
      </w:pPr>
      <w:r>
        <w:rPr>
          <w:rFonts w:ascii="Calibri" w:hAnsi="Calibri"/>
          <w:color w:val="333333"/>
          <w:sz w:val="22"/>
        </w:rPr>
        <w:t>A: Answer: Ensure you are familiar with Section 3 on Permitted Uses to avoid any personal liability.</w:t>
      </w:r>
    </w:p>
    <w:p>
      <w:r>
        <w:rPr>
          <w:rFonts w:ascii="Calibri" w:hAnsi="Calibri"/>
          <w:b/>
          <w:color w:val="1B3A5C"/>
          <w:sz w:val="22"/>
        </w:rPr>
        <w:t>Q: Question 9 regarding corporate cards?</w:t>
      </w:r>
    </w:p>
    <w:p>
      <w:pPr>
        <w:spacing w:after="240"/>
      </w:pPr>
      <w:r>
        <w:rPr>
          <w:rFonts w:ascii="Calibri" w:hAnsi="Calibri"/>
          <w:color w:val="333333"/>
          <w:sz w:val="22"/>
        </w:rPr>
        <w:t>A: Answer: Ensure you are familiar with Section 3 on Permitted Uses to avoid any personal liability.</w:t>
      </w:r>
    </w:p>
    <w:p>
      <w:r>
        <w:rPr>
          <w:rFonts w:ascii="Calibri" w:hAnsi="Calibri"/>
          <w:b/>
          <w:color w:val="1B3A5C"/>
          <w:sz w:val="22"/>
        </w:rPr>
        <w:t>Q: Question 10 regarding corporate cards?</w:t>
      </w:r>
    </w:p>
    <w:p>
      <w:pPr>
        <w:spacing w:after="240"/>
      </w:pPr>
      <w:r>
        <w:rPr>
          <w:rFonts w:ascii="Calibri" w:hAnsi="Calibri"/>
          <w:color w:val="333333"/>
          <w:sz w:val="22"/>
        </w:rPr>
        <w:t>A: Answer: Ensure you are familiar with Section 3 on Permitted Uses to avoid any personal liability.</w:t>
      </w:r>
    </w:p>
    <w:p>
      <w:r>
        <w:rPr>
          <w:rFonts w:ascii="Calibri" w:hAnsi="Calibri"/>
          <w:b/>
          <w:color w:val="1B3A5C"/>
          <w:sz w:val="22"/>
        </w:rPr>
        <w:t>Q: Question 11 regarding corporate cards?</w:t>
      </w:r>
    </w:p>
    <w:p>
      <w:pPr>
        <w:spacing w:after="240"/>
      </w:pPr>
      <w:r>
        <w:rPr>
          <w:rFonts w:ascii="Calibri" w:hAnsi="Calibri"/>
          <w:color w:val="333333"/>
          <w:sz w:val="22"/>
        </w:rPr>
        <w:t>A: Answer: Ensure you are familiar with Section 3 on Permitted Uses to avoid any personal liability.</w:t>
      </w:r>
    </w:p>
    <w:p>
      <w:r>
        <w:rPr>
          <w:rFonts w:ascii="Calibri" w:hAnsi="Calibri"/>
          <w:b/>
          <w:color w:val="1B3A5C"/>
          <w:sz w:val="22"/>
        </w:rPr>
        <w:t>Q: Question 12 regarding corporate cards?</w:t>
      </w:r>
    </w:p>
    <w:p>
      <w:pPr>
        <w:spacing w:after="240"/>
      </w:pPr>
      <w:r>
        <w:rPr>
          <w:rFonts w:ascii="Calibri" w:hAnsi="Calibri"/>
          <w:color w:val="333333"/>
          <w:sz w:val="22"/>
        </w:rPr>
        <w:t>A: Answer: Ensure you are familiar with Section 3 on Permitted Uses to avoid any personal liability.</w:t>
      </w:r>
    </w:p>
    <w:p>
      <w:r>
        <w:rPr>
          <w:rFonts w:ascii="Calibri" w:hAnsi="Calibri"/>
          <w:b/>
          <w:color w:val="1B3A5C"/>
          <w:sz w:val="22"/>
        </w:rPr>
        <w:t>Q: Question 13 regarding corporate cards?</w:t>
      </w:r>
    </w:p>
    <w:p>
      <w:pPr>
        <w:spacing w:after="240"/>
      </w:pPr>
      <w:r>
        <w:rPr>
          <w:rFonts w:ascii="Calibri" w:hAnsi="Calibri"/>
          <w:color w:val="333333"/>
          <w:sz w:val="22"/>
        </w:rPr>
        <w:t>A: Answer: Ensure you are familiar with Section 3 on Permitted Uses to avoid any personal liability.</w:t>
      </w:r>
    </w:p>
    <w:p>
      <w:r>
        <w:rPr>
          <w:rFonts w:ascii="Calibri" w:hAnsi="Calibri"/>
          <w:b/>
          <w:color w:val="1B3A5C"/>
          <w:sz w:val="22"/>
        </w:rPr>
        <w:t>Q: Question 14 regarding corporate cards?</w:t>
      </w:r>
    </w:p>
    <w:p>
      <w:pPr>
        <w:spacing w:after="240"/>
      </w:pPr>
      <w:r>
        <w:rPr>
          <w:rFonts w:ascii="Calibri" w:hAnsi="Calibri"/>
          <w:color w:val="333333"/>
          <w:sz w:val="22"/>
        </w:rPr>
        <w:t>A: Answer: Ensure you are familiar with Section 3 on Permitted Uses to avoid any personal liability.</w:t>
      </w:r>
    </w:p>
    <w:p>
      <w:r>
        <w:rPr>
          <w:rFonts w:ascii="Calibri" w:hAnsi="Calibri"/>
          <w:b/>
          <w:color w:val="1B3A5C"/>
          <w:sz w:val="22"/>
        </w:rPr>
        <w:t>Q: Question 15 regarding corporate cards?</w:t>
      </w:r>
    </w:p>
    <w:p>
      <w:pPr>
        <w:spacing w:after="240"/>
      </w:pPr>
      <w:r>
        <w:rPr>
          <w:rFonts w:ascii="Calibri" w:hAnsi="Calibri"/>
          <w:color w:val="333333"/>
          <w:sz w:val="22"/>
        </w:rPr>
        <w:t>A: Answer: Ensure you are familiar with Section 3 on Permitted Uses to avoid any personal liability.</w:t>
      </w:r>
    </w:p>
    <w:p>
      <w:pPr>
        <w:pStyle w:val="Heading1"/>
      </w:pPr>
      <w:r>
        <w:t>Revision History</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1152"/>
            <w:shd w:fill="1B3A5C" w:val="clear"/>
          </w:tcPr>
          <w:p>
            <w:pPr>
              <w:jc w:val="center"/>
            </w:pPr>
            <w:r>
              <w:rPr>
                <w:rFonts w:ascii="Calibri" w:hAnsi="Calibri"/>
                <w:b/>
                <w:color w:val="FFFFFF"/>
                <w:sz w:val="20"/>
              </w:rPr>
              <w:t>Version</w:t>
            </w:r>
          </w:p>
        </w:tc>
        <w:tc>
          <w:tcPr>
            <w:tcW w:type="dxa" w:w="1872"/>
            <w:shd w:fill="1B3A5C" w:val="clear"/>
          </w:tcPr>
          <w:p>
            <w:pPr>
              <w:jc w:val="center"/>
            </w:pPr>
            <w:r>
              <w:rPr>
                <w:rFonts w:ascii="Calibri" w:hAnsi="Calibri"/>
                <w:b/>
                <w:color w:val="FFFFFF"/>
                <w:sz w:val="20"/>
              </w:rPr>
              <w:t>Effective Date</w:t>
            </w:r>
          </w:p>
        </w:tc>
        <w:tc>
          <w:tcPr>
            <w:tcW w:type="dxa" w:w="2160"/>
            <w:shd w:fill="1B3A5C" w:val="clear"/>
          </w:tcPr>
          <w:p>
            <w:pPr>
              <w:jc w:val="center"/>
            </w:pPr>
            <w:r>
              <w:rPr>
                <w:rFonts w:ascii="Calibri" w:hAnsi="Calibri"/>
                <w:b/>
                <w:color w:val="FFFFFF"/>
                <w:sz w:val="20"/>
              </w:rPr>
              <w:t>Author / Function</w:t>
            </w:r>
          </w:p>
        </w:tc>
        <w:tc>
          <w:tcPr>
            <w:tcW w:type="dxa" w:w="4320"/>
            <w:shd w:fill="1B3A5C" w:val="clear"/>
          </w:tcPr>
          <w:p>
            <w:pPr>
              <w:jc w:val="center"/>
            </w:pPr>
            <w:r>
              <w:rPr>
                <w:rFonts w:ascii="Calibri" w:hAnsi="Calibri"/>
                <w:b/>
                <w:color w:val="FFFFFF"/>
                <w:sz w:val="20"/>
              </w:rPr>
              <w:t>Description</w:t>
            </w:r>
          </w:p>
        </w:tc>
      </w:tr>
      <w:tr>
        <w:tc>
          <w:tcPr>
            <w:tcW w:type="dxa" w:w="1152"/>
          </w:tcPr>
          <w:p>
            <w:r>
              <w:rPr>
                <w:rFonts w:ascii="Calibri" w:hAnsi="Calibri"/>
                <w:color w:val="333333"/>
                <w:sz w:val="18"/>
              </w:rPr>
              <w:t>1.0</w:t>
            </w:r>
          </w:p>
        </w:tc>
        <w:tc>
          <w:tcPr>
            <w:tcW w:type="dxa" w:w="1872"/>
          </w:tcPr>
          <w:p>
            <w:r>
              <w:rPr>
                <w:rFonts w:ascii="Calibri" w:hAnsi="Calibri"/>
                <w:color w:val="333333"/>
                <w:sz w:val="18"/>
              </w:rPr>
              <w:t>01 Jan 2025</w:t>
            </w:r>
          </w:p>
        </w:tc>
        <w:tc>
          <w:tcPr>
            <w:tcW w:type="dxa" w:w="2160"/>
          </w:tcPr>
          <w:p>
            <w:r>
              <w:rPr>
                <w:rFonts w:ascii="Calibri" w:hAnsi="Calibri"/>
                <w:color w:val="333333"/>
                <w:sz w:val="18"/>
              </w:rPr>
              <w:t>Finance</w:t>
            </w:r>
          </w:p>
        </w:tc>
        <w:tc>
          <w:tcPr>
            <w:tcW w:type="dxa" w:w="4320"/>
          </w:tcPr>
          <w:p>
            <w:r>
              <w:rPr>
                <w:rFonts w:ascii="Calibri" w:hAnsi="Calibri"/>
                <w:color w:val="333333"/>
                <w:sz w:val="18"/>
              </w:rPr>
              <w:t>Initial creation</w:t>
            </w:r>
          </w:p>
        </w:tc>
      </w:tr>
      <w:tr>
        <w:tc>
          <w:tcPr>
            <w:tcW w:type="dxa" w:w="1152"/>
            <w:shd w:fill="F2F6FA" w:val="clear"/>
          </w:tcPr>
          <w:p>
            <w:r>
              <w:rPr>
                <w:rFonts w:ascii="Calibri" w:hAnsi="Calibri"/>
                <w:color w:val="333333"/>
                <w:sz w:val="18"/>
              </w:rPr>
              <w:t>1.1</w:t>
            </w:r>
          </w:p>
        </w:tc>
        <w:tc>
          <w:tcPr>
            <w:tcW w:type="dxa" w:w="1872"/>
            <w:shd w:fill="F2F6FA" w:val="clear"/>
          </w:tcPr>
          <w:p>
            <w:r>
              <w:rPr>
                <w:rFonts w:ascii="Calibri" w:hAnsi="Calibri"/>
                <w:color w:val="333333"/>
                <w:sz w:val="18"/>
              </w:rPr>
              <w:t>01 Oct 2025</w:t>
            </w:r>
          </w:p>
        </w:tc>
        <w:tc>
          <w:tcPr>
            <w:tcW w:type="dxa" w:w="2160"/>
            <w:shd w:fill="F2F6FA" w:val="clear"/>
          </w:tcPr>
          <w:p>
            <w:r>
              <w:rPr>
                <w:rFonts w:ascii="Calibri" w:hAnsi="Calibri"/>
                <w:color w:val="333333"/>
                <w:sz w:val="18"/>
              </w:rPr>
              <w:t>VP Finance</w:t>
            </w:r>
          </w:p>
        </w:tc>
        <w:tc>
          <w:tcPr>
            <w:tcW w:type="dxa" w:w="4320"/>
            <w:shd w:fill="F2F6FA" w:val="clear"/>
          </w:tcPr>
          <w:p>
            <w:r>
              <w:rPr>
                <w:rFonts w:ascii="Calibri" w:hAnsi="Calibri"/>
                <w:color w:val="333333"/>
                <w:sz w:val="18"/>
              </w:rPr>
              <w:t>Updated limits</w:t>
            </w:r>
          </w:p>
        </w:tc>
      </w:tr>
      <w:tr>
        <w:tc>
          <w:tcPr>
            <w:tcW w:type="dxa" w:w="1152"/>
          </w:tcPr>
          <w:p>
            <w:r>
              <w:rPr>
                <w:rFonts w:ascii="Calibri" w:hAnsi="Calibri"/>
                <w:color w:val="333333"/>
                <w:sz w:val="18"/>
              </w:rPr>
              <w:t>1.2</w:t>
            </w:r>
          </w:p>
        </w:tc>
        <w:tc>
          <w:tcPr>
            <w:tcW w:type="dxa" w:w="1872"/>
          </w:tcPr>
          <w:p>
            <w:r>
              <w:rPr>
                <w:rFonts w:ascii="Calibri" w:hAnsi="Calibri"/>
                <w:color w:val="333333"/>
                <w:sz w:val="18"/>
              </w:rPr>
              <w:t>01 Apr 2026</w:t>
            </w:r>
          </w:p>
        </w:tc>
        <w:tc>
          <w:tcPr>
            <w:tcW w:type="dxa" w:w="2160"/>
          </w:tcPr>
          <w:p>
            <w:r>
              <w:rPr>
                <w:rFonts w:ascii="Calibri" w:hAnsi="Calibri"/>
                <w:color w:val="333333"/>
                <w:sz w:val="18"/>
              </w:rPr>
              <w:t>VP Finance</w:t>
            </w:r>
          </w:p>
        </w:tc>
        <w:tc>
          <w:tcPr>
            <w:tcW w:type="dxa" w:w="4320"/>
          </w:tcPr>
          <w:p>
            <w:r>
              <w:rPr>
                <w:rFonts w:ascii="Calibri" w:hAnsi="Calibri"/>
                <w:color w:val="333333"/>
                <w:sz w:val="18"/>
              </w:rPr>
              <w:t>Added cryptocurrency prohibition</w:t>
            </w:r>
          </w:p>
        </w:tc>
      </w:tr>
    </w:tbl>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6666"/>
        <w:sz w:val="16"/>
      </w:rPr>
      <w:t>Vistara Global Systems — Internal — FIN-006</w:t>
    </w:r>
    <w:r>
      <w:rPr>
        <w:rFonts w:ascii="Calibri" w:hAnsi="Calibri"/>
        <w:color w:val="666666"/>
        <w:sz w:val="16"/>
      </w:rPr>
      <w:t xml:space="preserve">    |    Page </w:t>
      <w:fldChar w:fldCharType="begin"/>
    </w:r>
    <w:r>
      <w:instrText xml:space="preserve">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1B3A5C"/>
      <w:sz w:val="36"/>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1B3A5C"/>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2E74B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