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Invoice Processing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FIN-007</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Finance</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FIN-007</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Invoice Processing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Finance</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CFO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July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July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Accounts Payable, Procurement, and all requesting managers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FIN-003, FIN-004, FIN-005, FIN-008</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r>
        <w:t>The Invoice Processing Policy establishes the standardized procedures for receiving, validating, recording, and paying vendor invoices. Vistara requires all invoices to be submitted centrally to invoices@vistaraglobal.com or through our integrated SAP portal to ensure transparency, prevent fraud, and optimize working capital management.</w:t>
      </w:r>
    </w:p>
    <w:p>
      <w:pPr>
        <w:pStyle w:val="Heading1"/>
      </w:pPr>
      <w:r>
        <w:t>2. Invoice Validation and Three-Way Matching</w:t>
      </w:r>
    </w:p>
    <w:p>
      <w:pPr/>
      <w:r>
        <w:t>To prevent overpayment and fraud, Vistara enforces a strict three-way matching process for all goods and services procured.</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r>
        <w:t>The three-way match verifies that the Supplier Invoice, the Purchase Order (PO), and the Goods Receipt or Service Acceptance document all align perfectly in terms of quantity, price, and terms. Any discrepancy exceeding acceptable tolerance limits will halt the payment process until resolved. This is mandatory for all transactions exceeding INR 25,000.</w:t>
      </w:r>
    </w:p>
    <w:p>
      <w:pPr>
        <w:pStyle w:val="Heading1"/>
      </w:pPr>
      <w:r>
        <w:t>3. Payment Terms and Methods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Vendor Category</w:t>
            </w:r>
          </w:p>
        </w:tc>
        <w:tc>
          <w:tcPr>
            <w:tcW w:type="dxa" w:w="3120"/>
            <w:shd w:fill="1B3A5C" w:val="clear"/>
          </w:tcPr>
          <w:p>
            <w:pPr>
              <w:jc w:val="center"/>
            </w:pPr>
            <w:r>
              <w:rPr>
                <w:rFonts w:ascii="Calibri" w:hAnsi="Calibri"/>
                <w:b/>
                <w:color w:val="FFFFFF"/>
                <w:sz w:val="20"/>
              </w:rPr>
              <w:t>Default Payment Terms</w:t>
            </w:r>
          </w:p>
        </w:tc>
        <w:tc>
          <w:tcPr>
            <w:tcW w:type="dxa" w:w="3120"/>
            <w:shd w:fill="1B3A5C" w:val="clear"/>
          </w:tcPr>
          <w:p>
            <w:pPr>
              <w:jc w:val="center"/>
            </w:pPr>
            <w:r>
              <w:rPr>
                <w:rFonts w:ascii="Calibri" w:hAnsi="Calibri"/>
                <w:b/>
                <w:color w:val="FFFFFF"/>
                <w:sz w:val="20"/>
              </w:rPr>
              <w:t>Payment Method</w:t>
            </w:r>
          </w:p>
        </w:tc>
      </w:tr>
      <w:tr>
        <w:tc>
          <w:tcPr>
            <w:tcW w:type="dxa" w:w="3120"/>
          </w:tcPr>
          <w:p>
            <w:r>
              <w:rPr>
                <w:rFonts w:ascii="Calibri" w:hAnsi="Calibri"/>
                <w:color w:val="333333"/>
                <w:sz w:val="18"/>
              </w:rPr>
              <w:t>Standard Suppliers</w:t>
            </w:r>
          </w:p>
        </w:tc>
        <w:tc>
          <w:tcPr>
            <w:tcW w:type="dxa" w:w="3120"/>
          </w:tcPr>
          <w:p>
            <w:r>
              <w:rPr>
                <w:rFonts w:ascii="Calibri" w:hAnsi="Calibri"/>
                <w:color w:val="333333"/>
                <w:sz w:val="18"/>
              </w:rPr>
              <w:t>Net 30</w:t>
            </w:r>
          </w:p>
        </w:tc>
        <w:tc>
          <w:tcPr>
            <w:tcW w:type="dxa" w:w="3120"/>
          </w:tcPr>
          <w:p>
            <w:r>
              <w:rPr>
                <w:rFonts w:ascii="Calibri" w:hAnsi="Calibri"/>
                <w:color w:val="333333"/>
                <w:sz w:val="18"/>
              </w:rPr>
              <w:t>NEFT / RTGS</w:t>
            </w:r>
          </w:p>
        </w:tc>
      </w:tr>
      <w:tr>
        <w:tc>
          <w:tcPr>
            <w:tcW w:type="dxa" w:w="3120"/>
            <w:shd w:fill="F2F6FA" w:val="clear"/>
          </w:tcPr>
          <w:p>
            <w:r>
              <w:rPr>
                <w:rFonts w:ascii="Calibri" w:hAnsi="Calibri"/>
                <w:color w:val="333333"/>
                <w:sz w:val="18"/>
              </w:rPr>
              <w:t>Large Strategic Contracts</w:t>
            </w:r>
          </w:p>
        </w:tc>
        <w:tc>
          <w:tcPr>
            <w:tcW w:type="dxa" w:w="3120"/>
            <w:shd w:fill="F2F6FA" w:val="clear"/>
          </w:tcPr>
          <w:p>
            <w:r>
              <w:rPr>
                <w:rFonts w:ascii="Calibri" w:hAnsi="Calibri"/>
                <w:color w:val="333333"/>
                <w:sz w:val="18"/>
              </w:rPr>
              <w:t>Net 45</w:t>
            </w:r>
          </w:p>
        </w:tc>
        <w:tc>
          <w:tcPr>
            <w:tcW w:type="dxa" w:w="3120"/>
            <w:shd w:fill="F2F6FA" w:val="clear"/>
          </w:tcPr>
          <w:p>
            <w:r>
              <w:rPr>
                <w:rFonts w:ascii="Calibri" w:hAnsi="Calibri"/>
                <w:color w:val="333333"/>
                <w:sz w:val="18"/>
              </w:rPr>
              <w:t>NEFT / RTGS</w:t>
            </w:r>
          </w:p>
        </w:tc>
      </w:tr>
      <w:tr>
        <w:tc>
          <w:tcPr>
            <w:tcW w:type="dxa" w:w="3120"/>
          </w:tcPr>
          <w:p>
            <w:r>
              <w:rPr>
                <w:rFonts w:ascii="Calibri" w:hAnsi="Calibri"/>
                <w:color w:val="333333"/>
                <w:sz w:val="18"/>
              </w:rPr>
              <w:t>Small Vendors (&lt;5L annual)</w:t>
            </w:r>
          </w:p>
        </w:tc>
        <w:tc>
          <w:tcPr>
            <w:tcW w:type="dxa" w:w="3120"/>
          </w:tcPr>
          <w:p>
            <w:r>
              <w:rPr>
                <w:rFonts w:ascii="Calibri" w:hAnsi="Calibri"/>
                <w:color w:val="333333"/>
                <w:sz w:val="18"/>
              </w:rPr>
              <w:t>Net 15</w:t>
            </w:r>
          </w:p>
        </w:tc>
        <w:tc>
          <w:tcPr>
            <w:tcW w:type="dxa" w:w="3120"/>
          </w:tcPr>
          <w:p>
            <w:r>
              <w:rPr>
                <w:rFonts w:ascii="Calibri" w:hAnsi="Calibri"/>
                <w:color w:val="333333"/>
                <w:sz w:val="18"/>
              </w:rPr>
              <w:t>NEFT / RTGS</w:t>
            </w:r>
          </w:p>
        </w:tc>
      </w:tr>
      <w:tr>
        <w:tc>
          <w:tcPr>
            <w:tcW w:type="dxa" w:w="3120"/>
            <w:shd w:fill="F2F6FA" w:val="clear"/>
          </w:tcPr>
          <w:p>
            <w:r>
              <w:rPr>
                <w:rFonts w:ascii="Calibri" w:hAnsi="Calibri"/>
                <w:color w:val="333333"/>
                <w:sz w:val="18"/>
              </w:rPr>
              <w:t>International Suppliers</w:t>
            </w:r>
          </w:p>
        </w:tc>
        <w:tc>
          <w:tcPr>
            <w:tcW w:type="dxa" w:w="3120"/>
            <w:shd w:fill="F2F6FA" w:val="clear"/>
          </w:tcPr>
          <w:p>
            <w:r>
              <w:rPr>
                <w:rFonts w:ascii="Calibri" w:hAnsi="Calibri"/>
                <w:color w:val="333333"/>
                <w:sz w:val="18"/>
              </w:rPr>
              <w:t>Net 30</w:t>
            </w:r>
          </w:p>
        </w:tc>
        <w:tc>
          <w:tcPr>
            <w:tcW w:type="dxa" w:w="3120"/>
            <w:shd w:fill="F2F6FA" w:val="clear"/>
          </w:tcPr>
          <w:p>
            <w:r>
              <w:rPr>
                <w:rFonts w:ascii="Calibri" w:hAnsi="Calibri"/>
                <w:color w:val="333333"/>
                <w:sz w:val="18"/>
              </w:rPr>
              <w:t>SWIFT</w:t>
            </w:r>
          </w:p>
        </w:tc>
      </w:tr>
    </w:tbl>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r>
        <w:t>Cash payments are strictly prohibited under all circumstances. All payments must be made electronically to authorized and verified bank accounts. The Accounts Payable team will execute payment runs twice weekly. Vendor master data changes require dual authorization to prevent interception of funds.</w:t>
      </w:r>
    </w:p>
    <w:p>
      <w:pPr>
        <w:pStyle w:val="Heading1"/>
      </w:pPr>
      <w:r>
        <w:t>4. Tax Compliance (GST and TDS)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r>
        <w:t>All domestic invoices must comply with prevailing Goods and Services Tax (GST) regulations. Invoices must prominently display the vendor's GSTIN, Vistara's GSTIN, HSN/SAC codes, and the correct tax breakdown. Furthermore, applicable Tax Deducted at Source (TDS) will be retained as per the Income Tax Act guidelines. The Finance department is responsible for ensuring timely remittance of deducted taxes to the government and issuance of relevant certificates to vendors.</w:t>
      </w:r>
    </w:p>
    <w:p>
      <w:pPr>
        <w:pStyle w:val="Heading1"/>
      </w:pPr>
      <w:r>
        <w:t>5. Dispute Resolution and Reconciliations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r>
        <w:t>Disputed invoices must be flagged in the ERP system, and the vendor must be notified of the specific discrepancies within 3 business days of invoice receipt. Vistara aims to resolve all disputes within 15 business days. To maintain healthy supplier relationships and accurate ledgers, Accounts Payable will perform monthly statement reconciliations for the top 20 vendors by spend, and quarterly reconciliations for all other active vendors.</w:t>
      </w:r>
    </w:p>
    <w:p>
      <w:pPr>
        <w:pStyle w:val="Heading1"/>
      </w:pPr>
      <w:r>
        <w:t>6. Operational Scenarios</w:t>
      </w:r>
    </w:p>
    <w:p>
      <w:pPr>
        <w:pStyle w:val="Heading3"/>
      </w:pPr>
      <w:r>
        <w:t>Scenario 1: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2: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3: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4: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5: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6: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7: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8: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9: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3"/>
      </w:pPr>
      <w:r>
        <w:t>Scenario 10: Price Discrepancy</w:t>
      </w:r>
    </w:p>
    <w:p>
      <w:r>
        <w:rPr>
          <w:b/>
          <w:color w:val="1B3A5C"/>
        </w:rPr>
        <w:t xml:space="preserve">Situation: </w:t>
      </w:r>
      <w:r>
        <w:t>Invoice amount is 10% higher than the approved PO.</w:t>
      </w:r>
    </w:p>
    <w:p>
      <w:r>
        <w:rPr>
          <w:b/>
          <w:color w:val="1B3A5C"/>
        </w:rPr>
        <w:t xml:space="preserve">Relevant Requirements: </w:t>
      </w:r>
      <w:r>
        <w:t>Three-way match failure.</w:t>
      </w:r>
    </w:p>
    <w:p>
      <w:r>
        <w:rPr>
          <w:b/>
          <w:color w:val="1B3A5C"/>
        </w:rPr>
        <w:t xml:space="preserve">Expected Process: </w:t>
      </w:r>
      <w:r>
        <w:t>AP flags invoice, contacts buyer to resolve with vendor. Reject or request credit note.</w:t>
      </w:r>
    </w:p>
    <w:p>
      <w:r>
        <w:rPr>
          <w:b/>
          <w:color w:val="1B3A5C"/>
        </w:rPr>
        <w:t xml:space="preserve">Outcome: </w:t>
      </w:r>
      <w:r>
        <w:t>Invoice corrected to match PO before payment.</w:t>
      </w:r>
    </w:p>
    <w:p/>
    <w:p>
      <w:pPr>
        <w:pStyle w:val="Heading1"/>
      </w:pPr>
      <w:r>
        <w:t>7. Frequently Asked Questions</w:t>
      </w:r>
    </w:p>
    <w:p>
      <w:r>
        <w:rPr>
          <w:rFonts w:ascii="Calibri" w:hAnsi="Calibri"/>
          <w:b/>
          <w:color w:val="1B3A5C"/>
          <w:sz w:val="22"/>
        </w:rPr>
        <w:t>Q: Question 1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2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3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4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5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6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7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8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9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10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11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12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13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14 about invoice processing?</w:t>
      </w:r>
    </w:p>
    <w:p>
      <w:pPr>
        <w:spacing w:after="240"/>
      </w:pPr>
      <w:r>
        <w:rPr>
          <w:rFonts w:ascii="Calibri" w:hAnsi="Calibri"/>
          <w:color w:val="333333"/>
          <w:sz w:val="22"/>
        </w:rPr>
        <w:t>A: Answer: Always ensure PO numbers are referenced on the vendor invoice to avoid delays.</w:t>
      </w:r>
    </w:p>
    <w:p>
      <w:r>
        <w:rPr>
          <w:rFonts w:ascii="Calibri" w:hAnsi="Calibri"/>
          <w:b/>
          <w:color w:val="1B3A5C"/>
          <w:sz w:val="22"/>
        </w:rPr>
        <w:t>Q: Question 15 about invoice processing?</w:t>
      </w:r>
    </w:p>
    <w:p>
      <w:pPr>
        <w:spacing w:after="240"/>
      </w:pPr>
      <w:r>
        <w:rPr>
          <w:rFonts w:ascii="Calibri" w:hAnsi="Calibri"/>
          <w:color w:val="333333"/>
          <w:sz w:val="22"/>
        </w:rPr>
        <w:t>A: Answer: Always ensure PO numbers are referenced on the vendor invoice to avoid delays.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Jun 2024</w:t>
            </w:r>
          </w:p>
        </w:tc>
        <w:tc>
          <w:tcPr>
            <w:tcW w:type="dxa" w:w="2160"/>
          </w:tcPr>
          <w:p>
            <w:r>
              <w:rPr>
                <w:rFonts w:ascii="Calibri" w:hAnsi="Calibri"/>
                <w:color w:val="333333"/>
                <w:sz w:val="18"/>
              </w:rPr>
              <w:t>Accounts Payable</w:t>
            </w:r>
          </w:p>
        </w:tc>
        <w:tc>
          <w:tcPr>
            <w:tcW w:type="dxa" w:w="4320"/>
          </w:tcPr>
          <w:p>
            <w:r>
              <w:rPr>
                <w:rFonts w:ascii="Calibri" w:hAnsi="Calibri"/>
                <w:color w:val="333333"/>
                <w:sz w:val="18"/>
              </w:rPr>
              <w:t>Initial setup</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01 Jan 2025</w:t>
            </w:r>
          </w:p>
        </w:tc>
        <w:tc>
          <w:tcPr>
            <w:tcW w:type="dxa" w:w="2160"/>
            <w:shd w:fill="F2F6FA" w:val="clear"/>
          </w:tcPr>
          <w:p>
            <w:r>
              <w:rPr>
                <w:rFonts w:ascii="Calibri" w:hAnsi="Calibri"/>
                <w:color w:val="333333"/>
                <w:sz w:val="18"/>
              </w:rPr>
              <w:t>Finance Manager</w:t>
            </w:r>
          </w:p>
        </w:tc>
        <w:tc>
          <w:tcPr>
            <w:tcW w:type="dxa" w:w="4320"/>
            <w:shd w:fill="F2F6FA" w:val="clear"/>
          </w:tcPr>
          <w:p>
            <w:r>
              <w:rPr>
                <w:rFonts w:ascii="Calibri" w:hAnsi="Calibri"/>
                <w:color w:val="333333"/>
                <w:sz w:val="18"/>
              </w:rPr>
              <w:t>Added SWIFT details</w:t>
            </w:r>
          </w:p>
        </w:tc>
      </w:tr>
      <w:tr>
        <w:tc>
          <w:tcPr>
            <w:tcW w:type="dxa" w:w="1152"/>
          </w:tcPr>
          <w:p>
            <w:r>
              <w:rPr>
                <w:rFonts w:ascii="Calibri" w:hAnsi="Calibri"/>
                <w:color w:val="333333"/>
                <w:sz w:val="18"/>
              </w:rPr>
              <w:t>1.2</w:t>
            </w:r>
          </w:p>
        </w:tc>
        <w:tc>
          <w:tcPr>
            <w:tcW w:type="dxa" w:w="1872"/>
          </w:tcPr>
          <w:p>
            <w:r>
              <w:rPr>
                <w:rFonts w:ascii="Calibri" w:hAnsi="Calibri"/>
                <w:color w:val="333333"/>
                <w:sz w:val="18"/>
              </w:rPr>
              <w:t>01 Jan 2026</w:t>
            </w:r>
          </w:p>
        </w:tc>
        <w:tc>
          <w:tcPr>
            <w:tcW w:type="dxa" w:w="2160"/>
          </w:tcPr>
          <w:p>
            <w:r>
              <w:rPr>
                <w:rFonts w:ascii="Calibri" w:hAnsi="Calibri"/>
                <w:color w:val="333333"/>
                <w:sz w:val="18"/>
              </w:rPr>
              <w:t>VP Finance</w:t>
            </w:r>
          </w:p>
        </w:tc>
        <w:tc>
          <w:tcPr>
            <w:tcW w:type="dxa" w:w="4320"/>
          </w:tcPr>
          <w:p>
            <w:r>
              <w:rPr>
                <w:rFonts w:ascii="Calibri" w:hAnsi="Calibri"/>
                <w:color w:val="333333"/>
                <w:sz w:val="18"/>
              </w:rPr>
              <w:t>Updated matching limits</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01 Jul 2026</w:t>
            </w:r>
          </w:p>
        </w:tc>
        <w:tc>
          <w:tcPr>
            <w:tcW w:type="dxa" w:w="2160"/>
            <w:shd w:fill="F2F6FA" w:val="clear"/>
          </w:tcPr>
          <w:p>
            <w:r>
              <w:rPr>
                <w:rFonts w:ascii="Calibri" w:hAnsi="Calibri"/>
                <w:color w:val="333333"/>
                <w:sz w:val="18"/>
              </w:rPr>
              <w:t>VP Finance</w:t>
            </w:r>
          </w:p>
        </w:tc>
        <w:tc>
          <w:tcPr>
            <w:tcW w:type="dxa" w:w="4320"/>
            <w:shd w:fill="F2F6FA" w:val="clear"/>
          </w:tcPr>
          <w:p>
            <w:r>
              <w:rPr>
                <w:rFonts w:ascii="Calibri" w:hAnsi="Calibri"/>
                <w:color w:val="333333"/>
                <w:sz w:val="18"/>
              </w:rPr>
              <w:t>Enhanced GST/TDS guidelines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FIN-007</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