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Financial Reporting and Records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FIN-008</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CFO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August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August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FIN-008</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Financial Reporting and Records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CFO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August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August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Finance, Accounting, and Executive Leadership</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1.3 (01 February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FIN-001, FIN-003, FIN-007, DATA-002, DATA-006, LEGAL-007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and Regulatory Context</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r>
        <w:t>This policy outlines the principles, requirements, and responsibilities concerning the preparation of financial reports and the retention of financial records at Vistara Global Systems. Compliance with Indian GAAP and Ind AS is mandatory. The integrity of our financial data is paramount for maintaining investor confidence, meeting statutory obligations under the Companies Act and Income Tax Act, and facilitating accurate strategic decision-making by the Board of Directors.</w:t>
      </w:r>
    </w:p>
    <w:p>
      <w:pPr>
        <w:pStyle w:val="Heading1"/>
      </w:pPr>
      <w:r>
        <w:t>2. Reporting Calendar and Cadence</w:t>
      </w:r>
    </w:p>
    <w:p>
      <w:pPr/>
      <w:r>
        <w:t>The Finance department must adhere to a strict reporting calendar to ensure timely dissemination of financial information: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Report Type</w:t>
            </w:r>
          </w:p>
        </w:tc>
        <w:tc>
          <w:tcPr>
            <w:tcW w:type="dxa" w:w="2340"/>
            <w:shd w:fill="1B3A5C" w:val="clear"/>
          </w:tcPr>
          <w:p>
            <w:pPr>
              <w:jc w:val="center"/>
            </w:pPr>
            <w:r>
              <w:rPr>
                <w:rFonts w:ascii="Calibri" w:hAnsi="Calibri"/>
                <w:b/>
                <w:color w:val="FFFFFF"/>
                <w:sz w:val="20"/>
              </w:rPr>
              <w:t>Audience</w:t>
            </w:r>
          </w:p>
        </w:tc>
        <w:tc>
          <w:tcPr>
            <w:tcW w:type="dxa" w:w="2340"/>
            <w:shd w:fill="1B3A5C" w:val="clear"/>
          </w:tcPr>
          <w:p>
            <w:pPr>
              <w:jc w:val="center"/>
            </w:pPr>
            <w:r>
              <w:rPr>
                <w:rFonts w:ascii="Calibri" w:hAnsi="Calibri"/>
                <w:b/>
                <w:color w:val="FFFFFF"/>
                <w:sz w:val="20"/>
              </w:rPr>
              <w:t>Frequency</w:t>
            </w:r>
          </w:p>
        </w:tc>
        <w:tc>
          <w:tcPr>
            <w:tcW w:type="dxa" w:w="2340"/>
            <w:shd w:fill="1B3A5C" w:val="clear"/>
          </w:tcPr>
          <w:p>
            <w:pPr>
              <w:jc w:val="center"/>
            </w:pPr>
            <w:r>
              <w:rPr>
                <w:rFonts w:ascii="Calibri" w:hAnsi="Calibri"/>
                <w:b/>
                <w:color w:val="FFFFFF"/>
                <w:sz w:val="20"/>
              </w:rPr>
              <w:t>Deadline</w:t>
            </w:r>
          </w:p>
        </w:tc>
      </w:tr>
      <w:tr>
        <w:tc>
          <w:tcPr>
            <w:tcW w:type="dxa" w:w="2340"/>
          </w:tcPr>
          <w:p>
            <w:r>
              <w:rPr>
                <w:rFonts w:ascii="Calibri" w:hAnsi="Calibri"/>
                <w:color w:val="333333"/>
                <w:sz w:val="18"/>
              </w:rPr>
              <w:t>Management Accounts</w:t>
            </w:r>
          </w:p>
        </w:tc>
        <w:tc>
          <w:tcPr>
            <w:tcW w:type="dxa" w:w="2340"/>
          </w:tcPr>
          <w:p>
            <w:r>
              <w:rPr>
                <w:rFonts w:ascii="Calibri" w:hAnsi="Calibri"/>
                <w:color w:val="333333"/>
                <w:sz w:val="18"/>
              </w:rPr>
              <w:t>Executive Team</w:t>
            </w:r>
          </w:p>
        </w:tc>
        <w:tc>
          <w:tcPr>
            <w:tcW w:type="dxa" w:w="2340"/>
          </w:tcPr>
          <w:p>
            <w:r>
              <w:rPr>
                <w:rFonts w:ascii="Calibri" w:hAnsi="Calibri"/>
                <w:color w:val="333333"/>
                <w:sz w:val="18"/>
              </w:rPr>
              <w:t>Monthly</w:t>
            </w:r>
          </w:p>
        </w:tc>
        <w:tc>
          <w:tcPr>
            <w:tcW w:type="dxa" w:w="2340"/>
          </w:tcPr>
          <w:p>
            <w:r>
              <w:rPr>
                <w:rFonts w:ascii="Calibri" w:hAnsi="Calibri"/>
                <w:color w:val="333333"/>
                <w:sz w:val="18"/>
              </w:rPr>
              <w:t>10th of following month</w:t>
            </w:r>
          </w:p>
        </w:tc>
      </w:tr>
      <w:tr>
        <w:tc>
          <w:tcPr>
            <w:tcW w:type="dxa" w:w="2340"/>
            <w:shd w:fill="F2F6FA" w:val="clear"/>
          </w:tcPr>
          <w:p>
            <w:r>
              <w:rPr>
                <w:rFonts w:ascii="Calibri" w:hAnsi="Calibri"/>
                <w:color w:val="333333"/>
                <w:sz w:val="18"/>
              </w:rPr>
              <w:t>Board Reporting</w:t>
            </w:r>
          </w:p>
        </w:tc>
        <w:tc>
          <w:tcPr>
            <w:tcW w:type="dxa" w:w="2340"/>
            <w:shd w:fill="F2F6FA" w:val="clear"/>
          </w:tcPr>
          <w:p>
            <w:r>
              <w:rPr>
                <w:rFonts w:ascii="Calibri" w:hAnsi="Calibri"/>
                <w:color w:val="333333"/>
                <w:sz w:val="18"/>
              </w:rPr>
              <w:t>Board of Directors</w:t>
            </w:r>
          </w:p>
        </w:tc>
        <w:tc>
          <w:tcPr>
            <w:tcW w:type="dxa" w:w="2340"/>
            <w:shd w:fill="F2F6FA" w:val="clear"/>
          </w:tcPr>
          <w:p>
            <w:r>
              <w:rPr>
                <w:rFonts w:ascii="Calibri" w:hAnsi="Calibri"/>
                <w:color w:val="333333"/>
                <w:sz w:val="18"/>
              </w:rPr>
              <w:t>Quarterly</w:t>
            </w:r>
          </w:p>
        </w:tc>
        <w:tc>
          <w:tcPr>
            <w:tcW w:type="dxa" w:w="2340"/>
            <w:shd w:fill="F2F6FA" w:val="clear"/>
          </w:tcPr>
          <w:p>
            <w:r>
              <w:rPr>
                <w:rFonts w:ascii="Calibri" w:hAnsi="Calibri"/>
                <w:color w:val="333333"/>
                <w:sz w:val="18"/>
              </w:rPr>
              <w:t>20th of following month</w:t>
            </w:r>
          </w:p>
        </w:tc>
      </w:tr>
      <w:tr>
        <w:tc>
          <w:tcPr>
            <w:tcW w:type="dxa" w:w="2340"/>
          </w:tcPr>
          <w:p>
            <w:r>
              <w:rPr>
                <w:rFonts w:ascii="Calibri" w:hAnsi="Calibri"/>
                <w:color w:val="333333"/>
                <w:sz w:val="18"/>
              </w:rPr>
              <w:t>Statutory Filings</w:t>
            </w:r>
          </w:p>
        </w:tc>
        <w:tc>
          <w:tcPr>
            <w:tcW w:type="dxa" w:w="2340"/>
          </w:tcPr>
          <w:p>
            <w:r>
              <w:rPr>
                <w:rFonts w:ascii="Calibri" w:hAnsi="Calibri"/>
                <w:color w:val="333333"/>
                <w:sz w:val="18"/>
              </w:rPr>
              <w:t>ROC / Tax Authorities</w:t>
            </w:r>
          </w:p>
        </w:tc>
        <w:tc>
          <w:tcPr>
            <w:tcW w:type="dxa" w:w="2340"/>
          </w:tcPr>
          <w:p>
            <w:r>
              <w:rPr>
                <w:rFonts w:ascii="Calibri" w:hAnsi="Calibri"/>
                <w:color w:val="333333"/>
                <w:sz w:val="18"/>
              </w:rPr>
              <w:t>Annual</w:t>
            </w:r>
          </w:p>
        </w:tc>
        <w:tc>
          <w:tcPr>
            <w:tcW w:type="dxa" w:w="2340"/>
          </w:tcPr>
          <w:p>
            <w:r>
              <w:rPr>
                <w:rFonts w:ascii="Calibri" w:hAnsi="Calibri"/>
                <w:color w:val="333333"/>
                <w:sz w:val="18"/>
              </w:rPr>
              <w:t>As per regulatory deadlines</w:t>
            </w:r>
          </w:p>
        </w:tc>
      </w:tr>
      <w:tr>
        <w:tc>
          <w:tcPr>
            <w:tcW w:type="dxa" w:w="2340"/>
            <w:shd w:fill="F2F6FA" w:val="clear"/>
          </w:tcPr>
          <w:p>
            <w:r>
              <w:rPr>
                <w:rFonts w:ascii="Calibri" w:hAnsi="Calibri"/>
                <w:color w:val="333333"/>
                <w:sz w:val="18"/>
              </w:rPr>
              <w:t>Variance Analysis</w:t>
            </w:r>
          </w:p>
        </w:tc>
        <w:tc>
          <w:tcPr>
            <w:tcW w:type="dxa" w:w="2340"/>
            <w:shd w:fill="F2F6FA" w:val="clear"/>
          </w:tcPr>
          <w:p>
            <w:r>
              <w:rPr>
                <w:rFonts w:ascii="Calibri" w:hAnsi="Calibri"/>
                <w:color w:val="333333"/>
                <w:sz w:val="18"/>
              </w:rPr>
              <w:t>Department Heads</w:t>
            </w:r>
          </w:p>
        </w:tc>
        <w:tc>
          <w:tcPr>
            <w:tcW w:type="dxa" w:w="2340"/>
            <w:shd w:fill="F2F6FA" w:val="clear"/>
          </w:tcPr>
          <w:p>
            <w:r>
              <w:rPr>
                <w:rFonts w:ascii="Calibri" w:hAnsi="Calibri"/>
                <w:color w:val="333333"/>
                <w:sz w:val="18"/>
              </w:rPr>
              <w:t>Monthly</w:t>
            </w:r>
          </w:p>
        </w:tc>
        <w:tc>
          <w:tcPr>
            <w:tcW w:type="dxa" w:w="2340"/>
            <w:shd w:fill="F2F6FA" w:val="clear"/>
          </w:tcPr>
          <w:p>
            <w:r>
              <w:rPr>
                <w:rFonts w:ascii="Calibri" w:hAnsi="Calibri"/>
                <w:color w:val="333333"/>
                <w:sz w:val="18"/>
              </w:rPr>
              <w:t>15th of following month</w:t>
            </w:r>
          </w:p>
        </w:tc>
      </w:tr>
    </w:tbl>
    <w:p/>
    <w:p>
      <w:pPr/>
      <w:r>
        <w:t>Any variance exceeding 10% between budgeted and actual figures requires a formal, written explanation from the respective department head. This proactive approach ensures continuous monitoring of our financial health and operational efficiency.</w:t>
      </w:r>
    </w:p>
    <w:p>
      <w:pPr/>
      <w:r>
        <w:t>Any variance exceeding 10% between budgeted and actual figures requires a formal, written explanation from the respective department head. This proactive approach ensures continuous monitoring of our financial health and operational efficiency.</w:t>
      </w:r>
    </w:p>
    <w:p>
      <w:pPr/>
      <w:r>
        <w:t>Any variance exceeding 10% between budgeted and actual figures requires a formal, written explanation from the respective department head. This proactive approach ensures continuous monitoring of our financial health and operational efficiency.</w:t>
      </w:r>
    </w:p>
    <w:p>
      <w:pPr/>
      <w:r>
        <w:t>Any variance exceeding 10% between budgeted and actual figures requires a formal, written explanation from the respective department head. This proactive approach ensures continuous monitoring of our financial health and operational efficiency.</w:t>
      </w:r>
    </w:p>
    <w:p>
      <w:pPr/>
      <w:r>
        <w:t>Any variance exceeding 10% between budgeted and actual figures requires a formal, written explanation from the respective department head. This proactive approach ensures continuous monitoring of our financial health and operational efficiency.</w:t>
      </w:r>
    </w:p>
    <w:p>
      <w:pPr/>
      <w:r>
        <w:t>Any variance exceeding 10% between budgeted and actual figures requires a formal, written explanation from the respective department head. This proactive approach ensures continuous monitoring of our financial health and operational efficiency.</w:t>
      </w:r>
    </w:p>
    <w:p>
      <w:pPr/>
      <w:r>
        <w:t>Any variance exceeding 10% between budgeted and actual figures requires a formal, written explanation from the respective department head. This proactive approach ensures continuous monitoring of our financial health and operational efficiency.</w:t>
      </w:r>
    </w:p>
    <w:p>
      <w:pPr/>
      <w:r>
        <w:t>Any variance exceeding 10% between budgeted and actual figures requires a formal, written explanation from the respective department head. This proactive approach ensures continuous monitoring of our financial health and operational efficiency.</w:t>
      </w:r>
    </w:p>
    <w:p>
      <w:pPr/>
      <w:r>
        <w:t>Any variance exceeding 10% between budgeted and actual figures requires a formal, written explanation from the respective department head. This proactive approach ensures continuous monitoring of our financial health and operational efficiency.</w:t>
      </w:r>
    </w:p>
    <w:p>
      <w:pPr/>
      <w:r>
        <w:t>Any variance exceeding 10% between budgeted and actual figures requires a formal, written explanation from the respective department head. This proactive approach ensures continuous monitoring of our financial health and operational efficiency.</w:t>
      </w:r>
    </w:p>
    <w:p>
      <w:pPr>
        <w:pStyle w:val="Heading1"/>
      </w:pPr>
      <w:r>
        <w:t>3. Record Retention and Management</w:t>
      </w:r>
    </w:p>
    <w:p>
      <w:pPr/>
      <w:r>
        <w:t>Financial records must be retained in accordance with DATA-002 and statutory requirements. Generally, all general ledgers, accounts payable/receivable records, bank statements, expense reports, and tax filings must be preserved for a minimum of 8 years. Records must be stored securely, primarily in digital format, with robust backup and disaster recovery protocols in place (per ENG-008) to prevent data loss or corruption.</w:t>
      </w:r>
    </w:p>
    <w:p>
      <w:pPr/>
      <w:r>
        <w:t>Financial records must be retained in accordance with DATA-002 and statutory requirements. Generally, all general ledgers, accounts payable/receivable records, bank statements, expense reports, and tax filings must be preserved for a minimum of 8 years. Records must be stored securely, primarily in digital format, with robust backup and disaster recovery protocols in place (per ENG-008) to prevent data loss or corruption.</w:t>
      </w:r>
    </w:p>
    <w:p>
      <w:pPr/>
      <w:r>
        <w:t>Financial records must be retained in accordance with DATA-002 and statutory requirements. Generally, all general ledgers, accounts payable/receivable records, bank statements, expense reports, and tax filings must be preserved for a minimum of 8 years. Records must be stored securely, primarily in digital format, with robust backup and disaster recovery protocols in place (per ENG-008) to prevent data loss or corruption.</w:t>
      </w:r>
    </w:p>
    <w:p>
      <w:pPr/>
      <w:r>
        <w:t>Financial records must be retained in accordance with DATA-002 and statutory requirements. Generally, all general ledgers, accounts payable/receivable records, bank statements, expense reports, and tax filings must be preserved for a minimum of 8 years. Records must be stored securely, primarily in digital format, with robust backup and disaster recovery protocols in place (per ENG-008) to prevent data loss or corruption.</w:t>
      </w:r>
    </w:p>
    <w:p>
      <w:pPr/>
      <w:r>
        <w:t>Financial records must be retained in accordance with DATA-002 and statutory requirements. Generally, all general ledgers, accounts payable/receivable records, bank statements, expense reports, and tax filings must be preserved for a minimum of 8 years. Records must be stored securely, primarily in digital format, with robust backup and disaster recovery protocols in place (per ENG-008) to prevent data loss or corruption.</w:t>
      </w:r>
    </w:p>
    <w:p>
      <w:pPr/>
      <w:r>
        <w:t>Financial records must be retained in accordance with DATA-002 and statutory requirements. Generally, all general ledgers, accounts payable/receivable records, bank statements, expense reports, and tax filings must be preserved for a minimum of 8 years. Records must be stored securely, primarily in digital format, with robust backup and disaster recovery protocols in place (per ENG-008) to prevent data loss or corruption.</w:t>
      </w:r>
    </w:p>
    <w:p>
      <w:pPr/>
      <w:r>
        <w:t>Financial records must be retained in accordance with DATA-002 and statutory requirements. Generally, all general ledgers, accounts payable/receivable records, bank statements, expense reports, and tax filings must be preserved for a minimum of 8 years. Records must be stored securely, primarily in digital format, with robust backup and disaster recovery protocols in place (per ENG-008) to prevent data loss or corruption.</w:t>
      </w:r>
    </w:p>
    <w:p>
      <w:pPr/>
      <w:r>
        <w:t>Financial records must be retained in accordance with DATA-002 and statutory requirements. Generally, all general ledgers, accounts payable/receivable records, bank statements, expense reports, and tax filings must be preserved for a minimum of 8 years. Records must be stored securely, primarily in digital format, with robust backup and disaster recovery protocols in place (per ENG-008) to prevent data loss or corruption.</w:t>
      </w:r>
    </w:p>
    <w:p>
      <w:pPr/>
      <w:r>
        <w:t>Financial records must be retained in accordance with DATA-002 and statutory requirements. Generally, all general ledgers, accounts payable/receivable records, bank statements, expense reports, and tax filings must be preserved for a minimum of 8 years. Records must be stored securely, primarily in digital format, with robust backup and disaster recovery protocols in place (per ENG-008) to prevent data loss or corruption.</w:t>
      </w:r>
    </w:p>
    <w:p>
      <w:pPr/>
      <w:r>
        <w:t>Financial records must be retained in accordance with DATA-002 and statutory requirements. Generally, all general ledgers, accounts payable/receivable records, bank statements, expense reports, and tax filings must be preserved for a minimum of 8 years. Records must be stored securely, primarily in digital format, with robust backup and disaster recovery protocols in place (per ENG-008) to prevent data loss or corruption.</w:t>
      </w:r>
    </w:p>
    <w:p>
      <w:pPr>
        <w:pStyle w:val="Heading1"/>
      </w:pPr>
      <w:r>
        <w:t>4. Internal Controls and Audit Support</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r>
        <w:t>Vistara maintains a rigorous internal control environment. Segregation of duties is strictly enforced to prevent errors and mitigate the risk of fraud. For instance, the individual approving a payment cannot be the same individual executing the payment. The Finance team is required to fully cooperate with both internal and external statutory auditors, providing unrestricted access to requested records, explanations, and evidence. Backdating or unauthorized alteration of financial records is a severe offense and will trigger immediate disciplinary and potentially legal action.</w:t>
      </w:r>
    </w:p>
    <w:p>
      <w:pPr>
        <w:pStyle w:val="Heading1"/>
      </w:pPr>
      <w:r>
        <w:t>5. Confidentiality and Whistleblowing</w:t>
      </w:r>
    </w:p>
    <w:p>
      <w:pPr/>
      <w:r>
        <w:t>Financial records are classified as Confidential or Restricted. Access is granted on a strict need-to-know basis. Employees who suspect fraudulent financial reporting, misappropriation of assets, or any violation of this policy are obligated to report their concerns through the channels established in the Whistleblower Policy (LEGAL-004). Retaliation against whistleblowers is strictly prohibited.</w:t>
      </w:r>
    </w:p>
    <w:p>
      <w:pPr/>
      <w:r>
        <w:t>Financial records are classified as Confidential or Restricted. Access is granted on a strict need-to-know basis. Employees who suspect fraudulent financial reporting, misappropriation of assets, or any violation of this policy are obligated to report their concerns through the channels established in the Whistleblower Policy (LEGAL-004). Retaliation against whistleblowers is strictly prohibited.</w:t>
      </w:r>
    </w:p>
    <w:p>
      <w:pPr/>
      <w:r>
        <w:t>Financial records are classified as Confidential or Restricted. Access is granted on a strict need-to-know basis. Employees who suspect fraudulent financial reporting, misappropriation of assets, or any violation of this policy are obligated to report their concerns through the channels established in the Whistleblower Policy (LEGAL-004). Retaliation against whistleblowers is strictly prohibited.</w:t>
      </w:r>
    </w:p>
    <w:p>
      <w:pPr/>
      <w:r>
        <w:t>Financial records are classified as Confidential or Restricted. Access is granted on a strict need-to-know basis. Employees who suspect fraudulent financial reporting, misappropriation of assets, or any violation of this policy are obligated to report their concerns through the channels established in the Whistleblower Policy (LEGAL-004). Retaliation against whistleblowers is strictly prohibited.</w:t>
      </w:r>
    </w:p>
    <w:p>
      <w:pPr/>
      <w:r>
        <w:t>Financial records are classified as Confidential or Restricted. Access is granted on a strict need-to-know basis. Employees who suspect fraudulent financial reporting, misappropriation of assets, or any violation of this policy are obligated to report their concerns through the channels established in the Whistleblower Policy (LEGAL-004). Retaliation against whistleblowers is strictly prohibited.</w:t>
      </w:r>
    </w:p>
    <w:p>
      <w:pPr/>
      <w:r>
        <w:t>Financial records are classified as Confidential or Restricted. Access is granted on a strict need-to-know basis. Employees who suspect fraudulent financial reporting, misappropriation of assets, or any violation of this policy are obligated to report their concerns through the channels established in the Whistleblower Policy (LEGAL-004). Retaliation against whistleblowers is strictly prohibited.</w:t>
      </w:r>
    </w:p>
    <w:p>
      <w:pPr/>
      <w:r>
        <w:t>Financial records are classified as Confidential or Restricted. Access is granted on a strict need-to-know basis. Employees who suspect fraudulent financial reporting, misappropriation of assets, or any violation of this policy are obligated to report their concerns through the channels established in the Whistleblower Policy (LEGAL-004). Retaliation against whistleblowers is strictly prohibited.</w:t>
      </w:r>
    </w:p>
    <w:p>
      <w:pPr/>
      <w:r>
        <w:t>Financial records are classified as Confidential or Restricted. Access is granted on a strict need-to-know basis. Employees who suspect fraudulent financial reporting, misappropriation of assets, or any violation of this policy are obligated to report their concerns through the channels established in the Whistleblower Policy (LEGAL-004). Retaliation against whistleblowers is strictly prohibited.</w:t>
      </w:r>
    </w:p>
    <w:p>
      <w:pPr/>
      <w:r>
        <w:t>Financial records are classified as Confidential or Restricted. Access is granted on a strict need-to-know basis. Employees who suspect fraudulent financial reporting, misappropriation of assets, or any violation of this policy are obligated to report their concerns through the channels established in the Whistleblower Policy (LEGAL-004). Retaliation against whistleblowers is strictly prohibited.</w:t>
      </w:r>
    </w:p>
    <w:p>
      <w:pPr/>
      <w:r>
        <w:t>Financial records are classified as Confidential or Restricted. Access is granted on a strict need-to-know basis. Employees who suspect fraudulent financial reporting, misappropriation of assets, or any violation of this policy are obligated to report their concerns through the channels established in the Whistleblower Policy (LEGAL-004). Retaliation against whistleblowers is strictly prohibited.</w:t>
      </w:r>
    </w:p>
    <w:p>
      <w:pPr>
        <w:pStyle w:val="Heading1"/>
      </w:pPr>
      <w:r>
        <w:t>6. Operational Scenarios</w:t>
      </w:r>
    </w:p>
    <w:p>
      <w:pPr>
        <w:pStyle w:val="Heading3"/>
      </w:pPr>
      <w:r>
        <w:t>Scenario 1: Audit Finding</w:t>
      </w:r>
    </w:p>
    <w:p>
      <w:r>
        <w:rPr>
          <w:b/>
          <w:color w:val="1B3A5C"/>
        </w:rPr>
        <w:t xml:space="preserve">Situation: </w:t>
      </w:r>
      <w:r>
        <w:t>Internal auditors discover missing approvals on older POs.</w:t>
      </w:r>
    </w:p>
    <w:p>
      <w:r>
        <w:rPr>
          <w:b/>
          <w:color w:val="1B3A5C"/>
        </w:rPr>
        <w:t xml:space="preserve">Relevant Requirements: </w:t>
      </w:r>
      <w:r>
        <w:t>Must comply with FIN-008 record keeping.</w:t>
      </w:r>
    </w:p>
    <w:p>
      <w:r>
        <w:rPr>
          <w:b/>
          <w:color w:val="1B3A5C"/>
        </w:rPr>
        <w:t xml:space="preserve">Expected Process: </w:t>
      </w:r>
      <w:r>
        <w:t>Finance works with procurement to locate physical or digital records.</w:t>
      </w:r>
    </w:p>
    <w:p>
      <w:r>
        <w:rPr>
          <w:b/>
          <w:color w:val="1B3A5C"/>
        </w:rPr>
        <w:t xml:space="preserve">Outcome: </w:t>
      </w:r>
      <w:r>
        <w:t>Records updated and control gap closed.</w:t>
      </w:r>
    </w:p>
    <w:p/>
    <w:p>
      <w:pPr>
        <w:pStyle w:val="Heading3"/>
      </w:pPr>
      <w:r>
        <w:t>Scenario 2: Audit Finding</w:t>
      </w:r>
    </w:p>
    <w:p>
      <w:r>
        <w:rPr>
          <w:b/>
          <w:color w:val="1B3A5C"/>
        </w:rPr>
        <w:t xml:space="preserve">Situation: </w:t>
      </w:r>
      <w:r>
        <w:t>Internal auditors discover missing approvals on older POs.</w:t>
      </w:r>
    </w:p>
    <w:p>
      <w:r>
        <w:rPr>
          <w:b/>
          <w:color w:val="1B3A5C"/>
        </w:rPr>
        <w:t xml:space="preserve">Relevant Requirements: </w:t>
      </w:r>
      <w:r>
        <w:t>Must comply with FIN-008 record keeping.</w:t>
      </w:r>
    </w:p>
    <w:p>
      <w:r>
        <w:rPr>
          <w:b/>
          <w:color w:val="1B3A5C"/>
        </w:rPr>
        <w:t xml:space="preserve">Expected Process: </w:t>
      </w:r>
      <w:r>
        <w:t>Finance works with procurement to locate physical or digital records.</w:t>
      </w:r>
    </w:p>
    <w:p>
      <w:r>
        <w:rPr>
          <w:b/>
          <w:color w:val="1B3A5C"/>
        </w:rPr>
        <w:t xml:space="preserve">Outcome: </w:t>
      </w:r>
      <w:r>
        <w:t>Records updated and control gap closed.</w:t>
      </w:r>
    </w:p>
    <w:p/>
    <w:p>
      <w:pPr>
        <w:pStyle w:val="Heading3"/>
      </w:pPr>
      <w:r>
        <w:t>Scenario 3: Audit Finding</w:t>
      </w:r>
    </w:p>
    <w:p>
      <w:r>
        <w:rPr>
          <w:b/>
          <w:color w:val="1B3A5C"/>
        </w:rPr>
        <w:t xml:space="preserve">Situation: </w:t>
      </w:r>
      <w:r>
        <w:t>Internal auditors discover missing approvals on older POs.</w:t>
      </w:r>
    </w:p>
    <w:p>
      <w:r>
        <w:rPr>
          <w:b/>
          <w:color w:val="1B3A5C"/>
        </w:rPr>
        <w:t xml:space="preserve">Relevant Requirements: </w:t>
      </w:r>
      <w:r>
        <w:t>Must comply with FIN-008 record keeping.</w:t>
      </w:r>
    </w:p>
    <w:p>
      <w:r>
        <w:rPr>
          <w:b/>
          <w:color w:val="1B3A5C"/>
        </w:rPr>
        <w:t xml:space="preserve">Expected Process: </w:t>
      </w:r>
      <w:r>
        <w:t>Finance works with procurement to locate physical or digital records.</w:t>
      </w:r>
    </w:p>
    <w:p>
      <w:r>
        <w:rPr>
          <w:b/>
          <w:color w:val="1B3A5C"/>
        </w:rPr>
        <w:t xml:space="preserve">Outcome: </w:t>
      </w:r>
      <w:r>
        <w:t>Records updated and control gap closed.</w:t>
      </w:r>
    </w:p>
    <w:p/>
    <w:p>
      <w:pPr>
        <w:pStyle w:val="Heading3"/>
      </w:pPr>
      <w:r>
        <w:t>Scenario 4: Audit Finding</w:t>
      </w:r>
    </w:p>
    <w:p>
      <w:r>
        <w:rPr>
          <w:b/>
          <w:color w:val="1B3A5C"/>
        </w:rPr>
        <w:t xml:space="preserve">Situation: </w:t>
      </w:r>
      <w:r>
        <w:t>Internal auditors discover missing approvals on older POs.</w:t>
      </w:r>
    </w:p>
    <w:p>
      <w:r>
        <w:rPr>
          <w:b/>
          <w:color w:val="1B3A5C"/>
        </w:rPr>
        <w:t xml:space="preserve">Relevant Requirements: </w:t>
      </w:r>
      <w:r>
        <w:t>Must comply with FIN-008 record keeping.</w:t>
      </w:r>
    </w:p>
    <w:p>
      <w:r>
        <w:rPr>
          <w:b/>
          <w:color w:val="1B3A5C"/>
        </w:rPr>
        <w:t xml:space="preserve">Expected Process: </w:t>
      </w:r>
      <w:r>
        <w:t>Finance works with procurement to locate physical or digital records.</w:t>
      </w:r>
    </w:p>
    <w:p>
      <w:r>
        <w:rPr>
          <w:b/>
          <w:color w:val="1B3A5C"/>
        </w:rPr>
        <w:t xml:space="preserve">Outcome: </w:t>
      </w:r>
      <w:r>
        <w:t>Records updated and control gap closed.</w:t>
      </w:r>
    </w:p>
    <w:p/>
    <w:p>
      <w:pPr>
        <w:pStyle w:val="Heading3"/>
      </w:pPr>
      <w:r>
        <w:t>Scenario 5: Audit Finding</w:t>
      </w:r>
    </w:p>
    <w:p>
      <w:r>
        <w:rPr>
          <w:b/>
          <w:color w:val="1B3A5C"/>
        </w:rPr>
        <w:t xml:space="preserve">Situation: </w:t>
      </w:r>
      <w:r>
        <w:t>Internal auditors discover missing approvals on older POs.</w:t>
      </w:r>
    </w:p>
    <w:p>
      <w:r>
        <w:rPr>
          <w:b/>
          <w:color w:val="1B3A5C"/>
        </w:rPr>
        <w:t xml:space="preserve">Relevant Requirements: </w:t>
      </w:r>
      <w:r>
        <w:t>Must comply with FIN-008 record keeping.</w:t>
      </w:r>
    </w:p>
    <w:p>
      <w:r>
        <w:rPr>
          <w:b/>
          <w:color w:val="1B3A5C"/>
        </w:rPr>
        <w:t xml:space="preserve">Expected Process: </w:t>
      </w:r>
      <w:r>
        <w:t>Finance works with procurement to locate physical or digital records.</w:t>
      </w:r>
    </w:p>
    <w:p>
      <w:r>
        <w:rPr>
          <w:b/>
          <w:color w:val="1B3A5C"/>
        </w:rPr>
        <w:t xml:space="preserve">Outcome: </w:t>
      </w:r>
      <w:r>
        <w:t>Records updated and control gap closed.</w:t>
      </w:r>
    </w:p>
    <w:p/>
    <w:p>
      <w:pPr>
        <w:pStyle w:val="Heading3"/>
      </w:pPr>
      <w:r>
        <w:t>Scenario 6: Audit Finding</w:t>
      </w:r>
    </w:p>
    <w:p>
      <w:r>
        <w:rPr>
          <w:b/>
          <w:color w:val="1B3A5C"/>
        </w:rPr>
        <w:t xml:space="preserve">Situation: </w:t>
      </w:r>
      <w:r>
        <w:t>Internal auditors discover missing approvals on older POs.</w:t>
      </w:r>
    </w:p>
    <w:p>
      <w:r>
        <w:rPr>
          <w:b/>
          <w:color w:val="1B3A5C"/>
        </w:rPr>
        <w:t xml:space="preserve">Relevant Requirements: </w:t>
      </w:r>
      <w:r>
        <w:t>Must comply with FIN-008 record keeping.</w:t>
      </w:r>
    </w:p>
    <w:p>
      <w:r>
        <w:rPr>
          <w:b/>
          <w:color w:val="1B3A5C"/>
        </w:rPr>
        <w:t xml:space="preserve">Expected Process: </w:t>
      </w:r>
      <w:r>
        <w:t>Finance works with procurement to locate physical or digital records.</w:t>
      </w:r>
    </w:p>
    <w:p>
      <w:r>
        <w:rPr>
          <w:b/>
          <w:color w:val="1B3A5C"/>
        </w:rPr>
        <w:t xml:space="preserve">Outcome: </w:t>
      </w:r>
      <w:r>
        <w:t>Records updated and control gap closed.</w:t>
      </w:r>
    </w:p>
    <w:p/>
    <w:p>
      <w:pPr>
        <w:pStyle w:val="Heading3"/>
      </w:pPr>
      <w:r>
        <w:t>Scenario 7: Audit Finding</w:t>
      </w:r>
    </w:p>
    <w:p>
      <w:r>
        <w:rPr>
          <w:b/>
          <w:color w:val="1B3A5C"/>
        </w:rPr>
        <w:t xml:space="preserve">Situation: </w:t>
      </w:r>
      <w:r>
        <w:t>Internal auditors discover missing approvals on older POs.</w:t>
      </w:r>
    </w:p>
    <w:p>
      <w:r>
        <w:rPr>
          <w:b/>
          <w:color w:val="1B3A5C"/>
        </w:rPr>
        <w:t xml:space="preserve">Relevant Requirements: </w:t>
      </w:r>
      <w:r>
        <w:t>Must comply with FIN-008 record keeping.</w:t>
      </w:r>
    </w:p>
    <w:p>
      <w:r>
        <w:rPr>
          <w:b/>
          <w:color w:val="1B3A5C"/>
        </w:rPr>
        <w:t xml:space="preserve">Expected Process: </w:t>
      </w:r>
      <w:r>
        <w:t>Finance works with procurement to locate physical or digital records.</w:t>
      </w:r>
    </w:p>
    <w:p>
      <w:r>
        <w:rPr>
          <w:b/>
          <w:color w:val="1B3A5C"/>
        </w:rPr>
        <w:t xml:space="preserve">Outcome: </w:t>
      </w:r>
      <w:r>
        <w:t>Records updated and control gap closed.</w:t>
      </w:r>
    </w:p>
    <w:p/>
    <w:p>
      <w:pPr>
        <w:pStyle w:val="Heading3"/>
      </w:pPr>
      <w:r>
        <w:t>Scenario 8: Audit Finding</w:t>
      </w:r>
    </w:p>
    <w:p>
      <w:r>
        <w:rPr>
          <w:b/>
          <w:color w:val="1B3A5C"/>
        </w:rPr>
        <w:t xml:space="preserve">Situation: </w:t>
      </w:r>
      <w:r>
        <w:t>Internal auditors discover missing approvals on older POs.</w:t>
      </w:r>
    </w:p>
    <w:p>
      <w:r>
        <w:rPr>
          <w:b/>
          <w:color w:val="1B3A5C"/>
        </w:rPr>
        <w:t xml:space="preserve">Relevant Requirements: </w:t>
      </w:r>
      <w:r>
        <w:t>Must comply with FIN-008 record keeping.</w:t>
      </w:r>
    </w:p>
    <w:p>
      <w:r>
        <w:rPr>
          <w:b/>
          <w:color w:val="1B3A5C"/>
        </w:rPr>
        <w:t xml:space="preserve">Expected Process: </w:t>
      </w:r>
      <w:r>
        <w:t>Finance works with procurement to locate physical or digital records.</w:t>
      </w:r>
    </w:p>
    <w:p>
      <w:r>
        <w:rPr>
          <w:b/>
          <w:color w:val="1B3A5C"/>
        </w:rPr>
        <w:t xml:space="preserve">Outcome: </w:t>
      </w:r>
      <w:r>
        <w:t>Records updated and control gap closed.</w:t>
      </w:r>
    </w:p>
    <w:p/>
    <w:p>
      <w:pPr>
        <w:pStyle w:val="Heading3"/>
      </w:pPr>
      <w:r>
        <w:t>Scenario 9: Audit Finding</w:t>
      </w:r>
    </w:p>
    <w:p>
      <w:r>
        <w:rPr>
          <w:b/>
          <w:color w:val="1B3A5C"/>
        </w:rPr>
        <w:t xml:space="preserve">Situation: </w:t>
      </w:r>
      <w:r>
        <w:t>Internal auditors discover missing approvals on older POs.</w:t>
      </w:r>
    </w:p>
    <w:p>
      <w:r>
        <w:rPr>
          <w:b/>
          <w:color w:val="1B3A5C"/>
        </w:rPr>
        <w:t xml:space="preserve">Relevant Requirements: </w:t>
      </w:r>
      <w:r>
        <w:t>Must comply with FIN-008 record keeping.</w:t>
      </w:r>
    </w:p>
    <w:p>
      <w:r>
        <w:rPr>
          <w:b/>
          <w:color w:val="1B3A5C"/>
        </w:rPr>
        <w:t xml:space="preserve">Expected Process: </w:t>
      </w:r>
      <w:r>
        <w:t>Finance works with procurement to locate physical or digital records.</w:t>
      </w:r>
    </w:p>
    <w:p>
      <w:r>
        <w:rPr>
          <w:b/>
          <w:color w:val="1B3A5C"/>
        </w:rPr>
        <w:t xml:space="preserve">Outcome: </w:t>
      </w:r>
      <w:r>
        <w:t>Records updated and control gap closed.</w:t>
      </w:r>
    </w:p>
    <w:p/>
    <w:p>
      <w:pPr>
        <w:pStyle w:val="Heading3"/>
      </w:pPr>
      <w:r>
        <w:t>Scenario 10: Audit Finding</w:t>
      </w:r>
    </w:p>
    <w:p>
      <w:r>
        <w:rPr>
          <w:b/>
          <w:color w:val="1B3A5C"/>
        </w:rPr>
        <w:t xml:space="preserve">Situation: </w:t>
      </w:r>
      <w:r>
        <w:t>Internal auditors discover missing approvals on older POs.</w:t>
      </w:r>
    </w:p>
    <w:p>
      <w:r>
        <w:rPr>
          <w:b/>
          <w:color w:val="1B3A5C"/>
        </w:rPr>
        <w:t xml:space="preserve">Relevant Requirements: </w:t>
      </w:r>
      <w:r>
        <w:t>Must comply with FIN-008 record keeping.</w:t>
      </w:r>
    </w:p>
    <w:p>
      <w:r>
        <w:rPr>
          <w:b/>
          <w:color w:val="1B3A5C"/>
        </w:rPr>
        <w:t xml:space="preserve">Expected Process: </w:t>
      </w:r>
      <w:r>
        <w:t>Finance works with procurement to locate physical or digital records.</w:t>
      </w:r>
    </w:p>
    <w:p>
      <w:r>
        <w:rPr>
          <w:b/>
          <w:color w:val="1B3A5C"/>
        </w:rPr>
        <w:t xml:space="preserve">Outcome: </w:t>
      </w:r>
      <w:r>
        <w:t>Records updated and control gap closed.</w:t>
      </w:r>
    </w:p>
    <w:p/>
    <w:p>
      <w:pPr>
        <w:pStyle w:val="Heading1"/>
      </w:pPr>
      <w:r>
        <w:t>7. Frequently Asked Questions</w:t>
      </w:r>
    </w:p>
    <w:p>
      <w:r>
        <w:rPr>
          <w:rFonts w:ascii="Calibri" w:hAnsi="Calibri"/>
          <w:b/>
          <w:color w:val="1B3A5C"/>
          <w:sz w:val="22"/>
        </w:rPr>
        <w:t>Q: Question 1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2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3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4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5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6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7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8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9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10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11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12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13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14 about reporting deadlines?</w:t>
      </w:r>
    </w:p>
    <w:p>
      <w:pPr>
        <w:spacing w:after="240"/>
      </w:pPr>
      <w:r>
        <w:rPr>
          <w:rFonts w:ascii="Calibri" w:hAnsi="Calibri"/>
          <w:color w:val="333333"/>
          <w:sz w:val="22"/>
        </w:rPr>
        <w:t>A: Answer: Deadlines are strict. Monthly management accounts must be completed by the 10th of the subsequent month.</w:t>
      </w:r>
    </w:p>
    <w:p>
      <w:r>
        <w:rPr>
          <w:rFonts w:ascii="Calibri" w:hAnsi="Calibri"/>
          <w:b/>
          <w:color w:val="1B3A5C"/>
          <w:sz w:val="22"/>
        </w:rPr>
        <w:t>Q: Question 15 about reporting deadlines?</w:t>
      </w:r>
    </w:p>
    <w:p>
      <w:pPr>
        <w:spacing w:after="240"/>
      </w:pPr>
      <w:r>
        <w:rPr>
          <w:rFonts w:ascii="Calibri" w:hAnsi="Calibri"/>
          <w:color w:val="333333"/>
          <w:sz w:val="22"/>
        </w:rPr>
        <w:t>A: Answer: Deadlines are strict. Monthly management accounts must be completed by the 10th of the subsequent month.</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2024</w:t>
            </w:r>
          </w:p>
        </w:tc>
        <w:tc>
          <w:tcPr>
            <w:tcW w:type="dxa" w:w="2160"/>
          </w:tcPr>
          <w:p>
            <w:r>
              <w:rPr>
                <w:rFonts w:ascii="Calibri" w:hAnsi="Calibri"/>
                <w:color w:val="333333"/>
                <w:sz w:val="18"/>
              </w:rPr>
              <w:t>CFO</w:t>
            </w:r>
          </w:p>
        </w:tc>
        <w:tc>
          <w:tcPr>
            <w:tcW w:type="dxa" w:w="4320"/>
          </w:tcPr>
          <w:p>
            <w:r>
              <w:rPr>
                <w:rFonts w:ascii="Calibri" w:hAnsi="Calibri"/>
                <w:color w:val="333333"/>
                <w:sz w:val="18"/>
              </w:rPr>
              <w:t>Initial creation</w:t>
            </w:r>
          </w:p>
        </w:tc>
      </w:tr>
      <w:tr>
        <w:tc>
          <w:tcPr>
            <w:tcW w:type="dxa" w:w="1152"/>
            <w:shd w:fill="F2F6FA" w:val="clear"/>
          </w:tcPr>
          <w:p>
            <w:r>
              <w:rPr>
                <w:rFonts w:ascii="Calibri" w:hAnsi="Calibri"/>
                <w:color w:val="333333"/>
                <w:sz w:val="18"/>
              </w:rPr>
              <w:t>1.3</w:t>
            </w:r>
          </w:p>
        </w:tc>
        <w:tc>
          <w:tcPr>
            <w:tcW w:type="dxa" w:w="1872"/>
            <w:shd w:fill="F2F6FA" w:val="clear"/>
          </w:tcPr>
          <w:p>
            <w:r>
              <w:rPr>
                <w:rFonts w:ascii="Calibri" w:hAnsi="Calibri"/>
                <w:color w:val="333333"/>
                <w:sz w:val="18"/>
              </w:rPr>
              <w:t>01 Feb 2026</w:t>
            </w:r>
          </w:p>
        </w:tc>
        <w:tc>
          <w:tcPr>
            <w:tcW w:type="dxa" w:w="2160"/>
            <w:shd w:fill="F2F6FA" w:val="clear"/>
          </w:tcPr>
          <w:p>
            <w:r>
              <w:rPr>
                <w:rFonts w:ascii="Calibri" w:hAnsi="Calibri"/>
                <w:color w:val="333333"/>
                <w:sz w:val="18"/>
              </w:rPr>
              <w:t>Finance Director</w:t>
            </w:r>
          </w:p>
        </w:tc>
        <w:tc>
          <w:tcPr>
            <w:tcW w:type="dxa" w:w="4320"/>
            <w:shd w:fill="F2F6FA" w:val="clear"/>
          </w:tcPr>
          <w:p>
            <w:r>
              <w:rPr>
                <w:rFonts w:ascii="Calibri" w:hAnsi="Calibri"/>
                <w:color w:val="333333"/>
                <w:sz w:val="18"/>
              </w:rPr>
              <w:t>Updated retention periods</w:t>
            </w:r>
          </w:p>
        </w:tc>
      </w:tr>
      <w:tr>
        <w:tc>
          <w:tcPr>
            <w:tcW w:type="dxa" w:w="1152"/>
          </w:tcPr>
          <w:p>
            <w:r>
              <w:rPr>
                <w:rFonts w:ascii="Calibri" w:hAnsi="Calibri"/>
                <w:color w:val="333333"/>
                <w:sz w:val="18"/>
              </w:rPr>
              <w:t>2.0</w:t>
            </w:r>
          </w:p>
        </w:tc>
        <w:tc>
          <w:tcPr>
            <w:tcW w:type="dxa" w:w="1872"/>
          </w:tcPr>
          <w:p>
            <w:r>
              <w:rPr>
                <w:rFonts w:ascii="Calibri" w:hAnsi="Calibri"/>
                <w:color w:val="333333"/>
                <w:sz w:val="18"/>
              </w:rPr>
              <w:t>01 Aug 2026</w:t>
            </w:r>
          </w:p>
        </w:tc>
        <w:tc>
          <w:tcPr>
            <w:tcW w:type="dxa" w:w="2160"/>
          </w:tcPr>
          <w:p>
            <w:r>
              <w:rPr>
                <w:rFonts w:ascii="Calibri" w:hAnsi="Calibri"/>
                <w:color w:val="333333"/>
                <w:sz w:val="18"/>
              </w:rPr>
              <w:t>CFO</w:t>
            </w:r>
          </w:p>
        </w:tc>
        <w:tc>
          <w:tcPr>
            <w:tcW w:type="dxa" w:w="4320"/>
          </w:tcPr>
          <w:p>
            <w:r>
              <w:rPr>
                <w:rFonts w:ascii="Calibri" w:hAnsi="Calibri"/>
                <w:color w:val="333333"/>
                <w:sz w:val="18"/>
              </w:rPr>
              <w:t>Aligned with new Ind AS requirements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FIN-008</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