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Production Access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Engineering</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September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Production Access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Engineering</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September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Engineering, DevOps, SRE, and Support teams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ENG-001, ENG-003, ENG-007, SEC-001, SEC-002, SEC-003, SEC-004, SEC-011, DATA-008</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Zero Standing Access Principle</w:t>
      </w:r>
    </w:p>
    <w:p>
      <w:pPr/>
      <w:r>
        <w:t>Vistara Global Systems enforces Zero Standing Access (ZSA) for all production environments. Developers do not have permanent production access.</w:t>
      </w:r>
    </w:p>
    <w:p>
      <w:pPr>
        <w:pStyle w:val="Heading1"/>
      </w:pPr>
      <w:r>
        <w:t>2. Access Types and Approvals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Access Type</w:t>
            </w:r>
          </w:p>
        </w:tc>
        <w:tc>
          <w:tcPr>
            <w:tcW w:type="dxa" w:w="2340"/>
            <w:shd w:fill="1B3A5C" w:val="clear"/>
          </w:tcPr>
          <w:p>
            <w:pPr>
              <w:jc w:val="center"/>
            </w:pPr>
            <w:r>
              <w:rPr>
                <w:rFonts w:ascii="Calibri" w:hAnsi="Calibri"/>
                <w:b/>
                <w:color w:val="FFFFFF"/>
                <w:sz w:val="20"/>
              </w:rPr>
              <w:t>Approval Required</w:t>
            </w:r>
          </w:p>
        </w:tc>
        <w:tc>
          <w:tcPr>
            <w:tcW w:type="dxa" w:w="2340"/>
            <w:shd w:fill="1B3A5C" w:val="clear"/>
          </w:tcPr>
          <w:p>
            <w:pPr>
              <w:jc w:val="center"/>
            </w:pPr>
            <w:r>
              <w:rPr>
                <w:rFonts w:ascii="Calibri" w:hAnsi="Calibri"/>
                <w:b/>
                <w:color w:val="FFFFFF"/>
                <w:sz w:val="20"/>
              </w:rPr>
              <w:t>Duration</w:t>
            </w:r>
          </w:p>
        </w:tc>
        <w:tc>
          <w:tcPr>
            <w:tcW w:type="dxa" w:w="2340"/>
            <w:shd w:fill="1B3A5C" w:val="clear"/>
          </w:tcPr>
          <w:p>
            <w:pPr>
              <w:jc w:val="center"/>
            </w:pPr>
            <w:r>
              <w:rPr>
                <w:rFonts w:ascii="Calibri" w:hAnsi="Calibri"/>
                <w:b/>
                <w:color w:val="FFFFFF"/>
                <w:sz w:val="20"/>
              </w:rPr>
              <w:t>Conditions</w:t>
            </w:r>
          </w:p>
        </w:tc>
      </w:tr>
      <w:tr>
        <w:tc>
          <w:tcPr>
            <w:tcW w:type="dxa" w:w="2340"/>
          </w:tcPr>
          <w:p>
            <w:r>
              <w:rPr>
                <w:rFonts w:ascii="Calibri" w:hAnsi="Calibri"/>
                <w:color w:val="333333"/>
                <w:sz w:val="18"/>
              </w:rPr>
              <w:t>Read-only Logs/Metrics</w:t>
            </w:r>
          </w:p>
        </w:tc>
        <w:tc>
          <w:tcPr>
            <w:tcW w:type="dxa" w:w="2340"/>
          </w:tcPr>
          <w:p>
            <w:r>
              <w:rPr>
                <w:rFonts w:ascii="Calibri" w:hAnsi="Calibri"/>
                <w:color w:val="333333"/>
                <w:sz w:val="18"/>
              </w:rPr>
              <w:t>Team Lead</w:t>
            </w:r>
          </w:p>
        </w:tc>
        <w:tc>
          <w:tcPr>
            <w:tcW w:type="dxa" w:w="2340"/>
          </w:tcPr>
          <w:p>
            <w:r>
              <w:rPr>
                <w:rFonts w:ascii="Calibri" w:hAnsi="Calibri"/>
                <w:color w:val="333333"/>
                <w:sz w:val="18"/>
              </w:rPr>
              <w:t>Up to 24h</w:t>
            </w:r>
          </w:p>
        </w:tc>
        <w:tc>
          <w:tcPr>
            <w:tcW w:type="dxa" w:w="2340"/>
          </w:tcPr>
          <w:p>
            <w:r>
              <w:rPr>
                <w:rFonts w:ascii="Calibri" w:hAnsi="Calibri"/>
                <w:color w:val="333333"/>
                <w:sz w:val="18"/>
              </w:rPr>
              <w:t>Requires ServiceNow ticket</w:t>
            </w:r>
          </w:p>
        </w:tc>
      </w:tr>
      <w:tr>
        <w:tc>
          <w:tcPr>
            <w:tcW w:type="dxa" w:w="2340"/>
            <w:shd w:fill="F2F6FA" w:val="clear"/>
          </w:tcPr>
          <w:p>
            <w:r>
              <w:rPr>
                <w:rFonts w:ascii="Calibri" w:hAnsi="Calibri"/>
                <w:color w:val="333333"/>
                <w:sz w:val="18"/>
              </w:rPr>
              <w:t>Prod DB Read</w:t>
            </w:r>
          </w:p>
        </w:tc>
        <w:tc>
          <w:tcPr>
            <w:tcW w:type="dxa" w:w="2340"/>
            <w:shd w:fill="F2F6FA" w:val="clear"/>
          </w:tcPr>
          <w:p>
            <w:r>
              <w:rPr>
                <w:rFonts w:ascii="Calibri" w:hAnsi="Calibri"/>
                <w:color w:val="333333"/>
                <w:sz w:val="18"/>
              </w:rPr>
              <w:t>Eng Director + Security</w:t>
            </w:r>
          </w:p>
        </w:tc>
        <w:tc>
          <w:tcPr>
            <w:tcW w:type="dxa" w:w="2340"/>
            <w:shd w:fill="F2F6FA" w:val="clear"/>
          </w:tcPr>
          <w:p>
            <w:r>
              <w:rPr>
                <w:rFonts w:ascii="Calibri" w:hAnsi="Calibri"/>
                <w:color w:val="333333"/>
                <w:sz w:val="18"/>
              </w:rPr>
              <w:t>Up to 4h</w:t>
            </w:r>
          </w:p>
        </w:tc>
        <w:tc>
          <w:tcPr>
            <w:tcW w:type="dxa" w:w="2340"/>
            <w:shd w:fill="F2F6FA" w:val="clear"/>
          </w:tcPr>
          <w:p>
            <w:r>
              <w:rPr>
                <w:rFonts w:ascii="Calibri" w:hAnsi="Calibri"/>
                <w:color w:val="333333"/>
                <w:sz w:val="18"/>
              </w:rPr>
              <w:t>Monitored session</w:t>
            </w:r>
          </w:p>
        </w:tc>
      </w:tr>
      <w:tr>
        <w:tc>
          <w:tcPr>
            <w:tcW w:type="dxa" w:w="2340"/>
          </w:tcPr>
          <w:p>
            <w:r>
              <w:rPr>
                <w:rFonts w:ascii="Calibri" w:hAnsi="Calibri"/>
                <w:color w:val="333333"/>
                <w:sz w:val="18"/>
              </w:rPr>
              <w:t>Prod DB Write</w:t>
            </w:r>
          </w:p>
        </w:tc>
        <w:tc>
          <w:tcPr>
            <w:tcW w:type="dxa" w:w="2340"/>
          </w:tcPr>
          <w:p>
            <w:r>
              <w:rPr>
                <w:rFonts w:ascii="Calibri" w:hAnsi="Calibri"/>
                <w:color w:val="333333"/>
                <w:sz w:val="18"/>
              </w:rPr>
              <w:t>VP Eng + CISO</w:t>
            </w:r>
          </w:p>
        </w:tc>
        <w:tc>
          <w:tcPr>
            <w:tcW w:type="dxa" w:w="2340"/>
          </w:tcPr>
          <w:p>
            <w:r>
              <w:rPr>
                <w:rFonts w:ascii="Calibri" w:hAnsi="Calibri"/>
                <w:color w:val="333333"/>
                <w:sz w:val="18"/>
              </w:rPr>
              <w:t>Up to 2h</w:t>
            </w:r>
          </w:p>
        </w:tc>
        <w:tc>
          <w:tcPr>
            <w:tcW w:type="dxa" w:w="2340"/>
          </w:tcPr>
          <w:p>
            <w:r>
              <w:rPr>
                <w:rFonts w:ascii="Calibri" w:hAnsi="Calibri"/>
                <w:color w:val="333333"/>
                <w:sz w:val="18"/>
              </w:rPr>
              <w:t>Break-glass only</w:t>
            </w:r>
          </w:p>
        </w:tc>
      </w:tr>
      <w:tr>
        <w:tc>
          <w:tcPr>
            <w:tcW w:type="dxa" w:w="2340"/>
            <w:shd w:fill="F2F6FA" w:val="clear"/>
          </w:tcPr>
          <w:p>
            <w:r>
              <w:rPr>
                <w:rFonts w:ascii="Calibri" w:hAnsi="Calibri"/>
                <w:color w:val="333333"/>
                <w:sz w:val="18"/>
              </w:rPr>
              <w:t>Infra Admin</w:t>
            </w:r>
          </w:p>
        </w:tc>
        <w:tc>
          <w:tcPr>
            <w:tcW w:type="dxa" w:w="2340"/>
            <w:shd w:fill="F2F6FA" w:val="clear"/>
          </w:tcPr>
          <w:p>
            <w:r>
              <w:rPr>
                <w:rFonts w:ascii="Calibri" w:hAnsi="Calibri"/>
                <w:color w:val="333333"/>
                <w:sz w:val="18"/>
              </w:rPr>
              <w:t>CTO</w:t>
            </w:r>
          </w:p>
        </w:tc>
        <w:tc>
          <w:tcPr>
            <w:tcW w:type="dxa" w:w="2340"/>
            <w:shd w:fill="F2F6FA" w:val="clear"/>
          </w:tcPr>
          <w:p>
            <w:r>
              <w:rPr>
                <w:rFonts w:ascii="Calibri" w:hAnsi="Calibri"/>
                <w:color w:val="333333"/>
                <w:sz w:val="18"/>
              </w:rPr>
              <w:t>Up to 2h</w:t>
            </w:r>
          </w:p>
        </w:tc>
        <w:tc>
          <w:tcPr>
            <w:tcW w:type="dxa" w:w="2340"/>
            <w:shd w:fill="F2F6FA" w:val="clear"/>
          </w:tcPr>
          <w:p>
            <w:r>
              <w:rPr>
                <w:rFonts w:ascii="Calibri" w:hAnsi="Calibri"/>
                <w:color w:val="333333"/>
                <w:sz w:val="18"/>
              </w:rPr>
              <w:t>Full session recording</w:t>
            </w:r>
          </w:p>
        </w:tc>
      </w:tr>
    </w:tbl>
    <w:p/>
    <w:p>
      <w:pPr>
        <w:pStyle w:val="Heading1"/>
      </w:pPr>
      <w:r>
        <w:t>3.0. Role-Based Rules for 0</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3.1. Role-Based Rules for 1</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3.2. Role-Based Rules for 2</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3.3. Role-Based Rules for 3</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3.4. Role-Based Rules for 4</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3.5. Role-Based Rules for 5</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3.6. Role-Based Rules for 6</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3.7. Role-Based Rules for 7</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3.8. Role-Based Rules for 8</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3.9. Role-Based Rules for 9</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3.10. Role-Based Rules for 10</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3.11. Role-Based Rules for 11</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3.12. Role-Based Rules for 12</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3.13. Role-Based Rules for 13</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1"/>
      </w:pPr>
      <w:r>
        <w:t>3.14. Role-Based Rules for 14</w:t>
      </w:r>
    </w:p>
    <w:p>
      <w:pPr/>
      <w:r>
        <w:t>Specific guidelines apply for this role to ensure least privilege.Specific guidelines apply for this role to ensure least privilege.Specific guidelines apply for this role to ensure least privilege.Specific guidelines apply for this role to ensure least privilege.Specific guidelines apply for this role to ensure least privilege.</w:t>
      </w:r>
    </w:p>
    <w:p>
      <w:pPr>
        <w:pStyle w:val="Heading2"/>
      </w:pPr>
      <w:r>
        <w:t>Frequently Asked Questions</w:t>
      </w:r>
    </w:p>
    <w:p>
      <w:r>
        <w:rPr>
          <w:rFonts w:ascii="Calibri" w:hAnsi="Calibri"/>
          <w:b/>
          <w:color w:val="1B3A5C"/>
          <w:sz w:val="22"/>
        </w:rPr>
        <w:t>Q: FAQ Question 0</w:t>
      </w:r>
    </w:p>
    <w:p>
      <w:pPr>
        <w:spacing w:after="240"/>
      </w:pPr>
      <w:r>
        <w:rPr>
          <w:rFonts w:ascii="Calibri" w:hAnsi="Calibri"/>
          <w:color w:val="333333"/>
          <w:sz w:val="22"/>
        </w:rPr>
        <w:t>A: Answer 0 referencing SEC-002 and ENG-002.</w:t>
      </w:r>
    </w:p>
    <w:p>
      <w:r>
        <w:rPr>
          <w:rFonts w:ascii="Calibri" w:hAnsi="Calibri"/>
          <w:b/>
          <w:color w:val="1B3A5C"/>
          <w:sz w:val="22"/>
        </w:rPr>
        <w:t>Q: FAQ Question 1</w:t>
      </w:r>
    </w:p>
    <w:p>
      <w:pPr>
        <w:spacing w:after="240"/>
      </w:pPr>
      <w:r>
        <w:rPr>
          <w:rFonts w:ascii="Calibri" w:hAnsi="Calibri"/>
          <w:color w:val="333333"/>
          <w:sz w:val="22"/>
        </w:rPr>
        <w:t>A: Answer 1 referencing SEC-002 and ENG-002.</w:t>
      </w:r>
    </w:p>
    <w:p>
      <w:r>
        <w:rPr>
          <w:rFonts w:ascii="Calibri" w:hAnsi="Calibri"/>
          <w:b/>
          <w:color w:val="1B3A5C"/>
          <w:sz w:val="22"/>
        </w:rPr>
        <w:t>Q: FAQ Question 2</w:t>
      </w:r>
    </w:p>
    <w:p>
      <w:pPr>
        <w:spacing w:after="240"/>
      </w:pPr>
      <w:r>
        <w:rPr>
          <w:rFonts w:ascii="Calibri" w:hAnsi="Calibri"/>
          <w:color w:val="333333"/>
          <w:sz w:val="22"/>
        </w:rPr>
        <w:t>A: Answer 2 referencing SEC-002 and ENG-002.</w:t>
      </w:r>
    </w:p>
    <w:p>
      <w:r>
        <w:rPr>
          <w:rFonts w:ascii="Calibri" w:hAnsi="Calibri"/>
          <w:b/>
          <w:color w:val="1B3A5C"/>
          <w:sz w:val="22"/>
        </w:rPr>
        <w:t>Q: FAQ Question 3</w:t>
      </w:r>
    </w:p>
    <w:p>
      <w:pPr>
        <w:spacing w:after="240"/>
      </w:pPr>
      <w:r>
        <w:rPr>
          <w:rFonts w:ascii="Calibri" w:hAnsi="Calibri"/>
          <w:color w:val="333333"/>
          <w:sz w:val="22"/>
        </w:rPr>
        <w:t>A: Answer 3 referencing SEC-002 and ENG-002.</w:t>
      </w:r>
    </w:p>
    <w:p>
      <w:r>
        <w:rPr>
          <w:rFonts w:ascii="Calibri" w:hAnsi="Calibri"/>
          <w:b/>
          <w:color w:val="1B3A5C"/>
          <w:sz w:val="22"/>
        </w:rPr>
        <w:t>Q: FAQ Question 4</w:t>
      </w:r>
    </w:p>
    <w:p>
      <w:pPr>
        <w:spacing w:after="240"/>
      </w:pPr>
      <w:r>
        <w:rPr>
          <w:rFonts w:ascii="Calibri" w:hAnsi="Calibri"/>
          <w:color w:val="333333"/>
          <w:sz w:val="22"/>
        </w:rPr>
        <w:t>A: Answer 4 referencing SEC-002 and ENG-002.</w:t>
      </w:r>
    </w:p>
    <w:p>
      <w:r>
        <w:rPr>
          <w:rFonts w:ascii="Calibri" w:hAnsi="Calibri"/>
          <w:b/>
          <w:color w:val="1B3A5C"/>
          <w:sz w:val="22"/>
        </w:rPr>
        <w:t>Q: FAQ Question 5</w:t>
      </w:r>
    </w:p>
    <w:p>
      <w:pPr>
        <w:spacing w:after="240"/>
      </w:pPr>
      <w:r>
        <w:rPr>
          <w:rFonts w:ascii="Calibri" w:hAnsi="Calibri"/>
          <w:color w:val="333333"/>
          <w:sz w:val="22"/>
        </w:rPr>
        <w:t>A: Answer 5 referencing SEC-002 and ENG-002.</w:t>
      </w:r>
    </w:p>
    <w:p>
      <w:r>
        <w:rPr>
          <w:rFonts w:ascii="Calibri" w:hAnsi="Calibri"/>
          <w:b/>
          <w:color w:val="1B3A5C"/>
          <w:sz w:val="22"/>
        </w:rPr>
        <w:t>Q: FAQ Question 6</w:t>
      </w:r>
    </w:p>
    <w:p>
      <w:pPr>
        <w:spacing w:after="240"/>
      </w:pPr>
      <w:r>
        <w:rPr>
          <w:rFonts w:ascii="Calibri" w:hAnsi="Calibri"/>
          <w:color w:val="333333"/>
          <w:sz w:val="22"/>
        </w:rPr>
        <w:t>A: Answer 6 referencing SEC-002 and ENG-002.</w:t>
      </w:r>
    </w:p>
    <w:p>
      <w:r>
        <w:rPr>
          <w:rFonts w:ascii="Calibri" w:hAnsi="Calibri"/>
          <w:b/>
          <w:color w:val="1B3A5C"/>
          <w:sz w:val="22"/>
        </w:rPr>
        <w:t>Q: FAQ Question 7</w:t>
      </w:r>
    </w:p>
    <w:p>
      <w:pPr>
        <w:spacing w:after="240"/>
      </w:pPr>
      <w:r>
        <w:rPr>
          <w:rFonts w:ascii="Calibri" w:hAnsi="Calibri"/>
          <w:color w:val="333333"/>
          <w:sz w:val="22"/>
        </w:rPr>
        <w:t>A: Answer 7 referencing SEC-002 and ENG-002.</w:t>
      </w:r>
    </w:p>
    <w:p>
      <w:r>
        <w:rPr>
          <w:rFonts w:ascii="Calibri" w:hAnsi="Calibri"/>
          <w:b/>
          <w:color w:val="1B3A5C"/>
          <w:sz w:val="22"/>
        </w:rPr>
        <w:t>Q: FAQ Question 8</w:t>
      </w:r>
    </w:p>
    <w:p>
      <w:pPr>
        <w:spacing w:after="240"/>
      </w:pPr>
      <w:r>
        <w:rPr>
          <w:rFonts w:ascii="Calibri" w:hAnsi="Calibri"/>
          <w:color w:val="333333"/>
          <w:sz w:val="22"/>
        </w:rPr>
        <w:t>A: Answer 8 referencing SEC-002 and ENG-002.</w:t>
      </w:r>
    </w:p>
    <w:p>
      <w:r>
        <w:rPr>
          <w:rFonts w:ascii="Calibri" w:hAnsi="Calibri"/>
          <w:b/>
          <w:color w:val="1B3A5C"/>
          <w:sz w:val="22"/>
        </w:rPr>
        <w:t>Q: FAQ Question 9</w:t>
      </w:r>
    </w:p>
    <w:p>
      <w:pPr>
        <w:spacing w:after="240"/>
      </w:pPr>
      <w:r>
        <w:rPr>
          <w:rFonts w:ascii="Calibri" w:hAnsi="Calibri"/>
          <w:color w:val="333333"/>
          <w:sz w:val="22"/>
        </w:rPr>
        <w:t>A: Answer 9 referencing SEC-002 and ENG-002.</w:t>
      </w:r>
    </w:p>
    <w:p>
      <w:r>
        <w:rPr>
          <w:rFonts w:ascii="Calibri" w:hAnsi="Calibri"/>
          <w:b/>
          <w:color w:val="1B3A5C"/>
          <w:sz w:val="22"/>
        </w:rPr>
        <w:t>Q: FAQ Question 10</w:t>
      </w:r>
    </w:p>
    <w:p>
      <w:pPr>
        <w:spacing w:after="240"/>
      </w:pPr>
      <w:r>
        <w:rPr>
          <w:rFonts w:ascii="Calibri" w:hAnsi="Calibri"/>
          <w:color w:val="333333"/>
          <w:sz w:val="22"/>
        </w:rPr>
        <w:t>A: Answer 10 referencing SEC-002 and ENG-002.</w:t>
      </w:r>
    </w:p>
    <w:p>
      <w:r>
        <w:rPr>
          <w:rFonts w:ascii="Calibri" w:hAnsi="Calibri"/>
          <w:b/>
          <w:color w:val="1B3A5C"/>
          <w:sz w:val="22"/>
        </w:rPr>
        <w:t>Q: FAQ Question 11</w:t>
      </w:r>
    </w:p>
    <w:p>
      <w:pPr>
        <w:spacing w:after="240"/>
      </w:pPr>
      <w:r>
        <w:rPr>
          <w:rFonts w:ascii="Calibri" w:hAnsi="Calibri"/>
          <w:color w:val="333333"/>
          <w:sz w:val="22"/>
        </w:rPr>
        <w:t>A: Answer 11 referencing SEC-002 and ENG-002.</w:t>
      </w:r>
    </w:p>
    <w:p>
      <w:r>
        <w:rPr>
          <w:rFonts w:ascii="Calibri" w:hAnsi="Calibri"/>
          <w:b/>
          <w:color w:val="1B3A5C"/>
          <w:sz w:val="22"/>
        </w:rPr>
        <w:t>Q: FAQ Question 12</w:t>
      </w:r>
    </w:p>
    <w:p>
      <w:pPr>
        <w:spacing w:after="240"/>
      </w:pPr>
      <w:r>
        <w:rPr>
          <w:rFonts w:ascii="Calibri" w:hAnsi="Calibri"/>
          <w:color w:val="333333"/>
          <w:sz w:val="22"/>
        </w:rPr>
        <w:t>A: Answer 12 referencing SEC-002 and ENG-002.</w:t>
      </w:r>
    </w:p>
    <w:p>
      <w:r>
        <w:rPr>
          <w:rFonts w:ascii="Calibri" w:hAnsi="Calibri"/>
          <w:b/>
          <w:color w:val="1B3A5C"/>
          <w:sz w:val="22"/>
        </w:rPr>
        <w:t>Q: FAQ Question 13</w:t>
      </w:r>
    </w:p>
    <w:p>
      <w:pPr>
        <w:spacing w:after="240"/>
      </w:pPr>
      <w:r>
        <w:rPr>
          <w:rFonts w:ascii="Calibri" w:hAnsi="Calibri"/>
          <w:color w:val="333333"/>
          <w:sz w:val="22"/>
        </w:rPr>
        <w:t>A: Answer 13 referencing SEC-002 and ENG-002.</w:t>
      </w:r>
    </w:p>
    <w:p>
      <w:r>
        <w:rPr>
          <w:rFonts w:ascii="Calibri" w:hAnsi="Calibri"/>
          <w:b/>
          <w:color w:val="1B3A5C"/>
          <w:sz w:val="22"/>
        </w:rPr>
        <w:t>Q: FAQ Question 14</w:t>
      </w:r>
    </w:p>
    <w:p>
      <w:pPr>
        <w:spacing w:after="240"/>
      </w:pPr>
      <w:r>
        <w:rPr>
          <w:rFonts w:ascii="Calibri" w:hAnsi="Calibri"/>
          <w:color w:val="333333"/>
          <w:sz w:val="22"/>
        </w:rPr>
        <w:t>A: Answer 14 referencing SEC-002 and ENG-002.</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Sep 2025</w:t>
            </w:r>
          </w:p>
        </w:tc>
        <w:tc>
          <w:tcPr>
            <w:tcW w:type="dxa" w:w="2160"/>
          </w:tcPr>
          <w:p>
            <w:r>
              <w:rPr>
                <w:rFonts w:ascii="Calibri" w:hAnsi="Calibri"/>
                <w:color w:val="333333"/>
                <w:sz w:val="18"/>
              </w:rPr>
              <w:t>SecOps</w:t>
            </w:r>
          </w:p>
        </w:tc>
        <w:tc>
          <w:tcPr>
            <w:tcW w:type="dxa" w:w="4320"/>
          </w:tcPr>
          <w:p>
            <w:r>
              <w:rPr>
                <w:rFonts w:ascii="Calibri" w:hAnsi="Calibri"/>
                <w:color w:val="333333"/>
                <w:sz w:val="18"/>
              </w:rPr>
              <w:t>Previous.</w:t>
            </w:r>
          </w:p>
        </w:tc>
      </w:tr>
      <w:tr>
        <w:tc>
          <w:tcPr>
            <w:tcW w:type="dxa" w:w="1152"/>
            <w:shd w:fill="F2F6FA" w:val="clear"/>
          </w:tcPr>
          <w:p>
            <w:r>
              <w:rPr>
                <w:rFonts w:ascii="Calibri" w:hAnsi="Calibri"/>
                <w:color w:val="333333"/>
                <w:sz w:val="18"/>
              </w:rPr>
              <w:t>2.1</w:t>
            </w:r>
          </w:p>
        </w:tc>
        <w:tc>
          <w:tcPr>
            <w:tcW w:type="dxa" w:w="1872"/>
            <w:shd w:fill="F2F6FA" w:val="clear"/>
          </w:tcPr>
          <w:p>
            <w:r>
              <w:rPr>
                <w:rFonts w:ascii="Calibri" w:hAnsi="Calibri"/>
                <w:color w:val="333333"/>
                <w:sz w:val="18"/>
              </w:rPr>
              <w:t>01 Mar 2026</w:t>
            </w:r>
          </w:p>
        </w:tc>
        <w:tc>
          <w:tcPr>
            <w:tcW w:type="dxa" w:w="2160"/>
            <w:shd w:fill="F2F6FA" w:val="clear"/>
          </w:tcPr>
          <w:p>
            <w:r>
              <w:rPr>
                <w:rFonts w:ascii="Calibri" w:hAnsi="Calibri"/>
                <w:color w:val="333333"/>
                <w:sz w:val="18"/>
              </w:rPr>
              <w:t>VP Engineering</w:t>
            </w:r>
          </w:p>
        </w:tc>
        <w:tc>
          <w:tcPr>
            <w:tcW w:type="dxa" w:w="4320"/>
            <w:shd w:fill="F2F6FA" w:val="clear"/>
          </w:tcPr>
          <w:p>
            <w:r>
              <w:rPr>
                <w:rFonts w:ascii="Calibri" w:hAnsi="Calibri"/>
                <w:color w:val="333333"/>
                <w:sz w:val="18"/>
              </w:rPr>
              <w:t>Refined JIT access rules.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ENG-002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