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Open Source Software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ENG-005</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1.2</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VP Engineering</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Legal Officer</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June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June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ENG-005</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Open Source Software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1.2</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VP Engineering</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Chief Legal Officer</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June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June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Engineering Staff</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1.1 (01 December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ENG-001, ENG-004, SEC-001, SEC-005, LEGAL-005, AI-004</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OSS Consumption</w:t>
      </w:r>
    </w:p>
    <w:p>
      <w:pPr/>
      <w:r>
        <w:t>Using open-source in Vistara products requires strict license compliance.</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License Type</w:t>
            </w:r>
          </w:p>
        </w:tc>
        <w:tc>
          <w:tcPr>
            <w:tcW w:type="dxa" w:w="3120"/>
            <w:shd w:fill="1B3A5C" w:val="clear"/>
          </w:tcPr>
          <w:p>
            <w:pPr>
              <w:jc w:val="center"/>
            </w:pPr>
            <w:r>
              <w:rPr>
                <w:rFonts w:ascii="Calibri" w:hAnsi="Calibri"/>
                <w:b/>
                <w:color w:val="FFFFFF"/>
                <w:sz w:val="20"/>
              </w:rPr>
              <w:t>Examples</w:t>
            </w:r>
          </w:p>
        </w:tc>
        <w:tc>
          <w:tcPr>
            <w:tcW w:type="dxa" w:w="3120"/>
            <w:shd w:fill="1B3A5C" w:val="clear"/>
          </w:tcPr>
          <w:p>
            <w:pPr>
              <w:jc w:val="center"/>
            </w:pPr>
            <w:r>
              <w:rPr>
                <w:rFonts w:ascii="Calibri" w:hAnsi="Calibri"/>
                <w:b/>
                <w:color w:val="FFFFFF"/>
                <w:sz w:val="20"/>
              </w:rPr>
              <w:t>Status</w:t>
            </w:r>
          </w:p>
        </w:tc>
      </w:tr>
      <w:tr>
        <w:tc>
          <w:tcPr>
            <w:tcW w:type="dxa" w:w="3120"/>
          </w:tcPr>
          <w:p>
            <w:r>
              <w:rPr>
                <w:rFonts w:ascii="Calibri" w:hAnsi="Calibri"/>
                <w:color w:val="333333"/>
                <w:sz w:val="18"/>
              </w:rPr>
              <w:t>Permissive</w:t>
            </w:r>
          </w:p>
        </w:tc>
        <w:tc>
          <w:tcPr>
            <w:tcW w:type="dxa" w:w="3120"/>
          </w:tcPr>
          <w:p>
            <w:r>
              <w:rPr>
                <w:rFonts w:ascii="Calibri" w:hAnsi="Calibri"/>
                <w:color w:val="333333"/>
                <w:sz w:val="18"/>
              </w:rPr>
              <w:t>MIT, Apache 2.0</w:t>
            </w:r>
          </w:p>
        </w:tc>
        <w:tc>
          <w:tcPr>
            <w:tcW w:type="dxa" w:w="3120"/>
          </w:tcPr>
          <w:p>
            <w:r>
              <w:rPr>
                <w:rFonts w:ascii="Calibri" w:hAnsi="Calibri"/>
                <w:color w:val="333333"/>
                <w:sz w:val="18"/>
              </w:rPr>
              <w:t>Auto-Approved</w:t>
            </w:r>
          </w:p>
        </w:tc>
      </w:tr>
      <w:tr>
        <w:tc>
          <w:tcPr>
            <w:tcW w:type="dxa" w:w="3120"/>
            <w:shd w:fill="F2F6FA" w:val="clear"/>
          </w:tcPr>
          <w:p>
            <w:r>
              <w:rPr>
                <w:rFonts w:ascii="Calibri" w:hAnsi="Calibri"/>
                <w:color w:val="333333"/>
                <w:sz w:val="18"/>
              </w:rPr>
              <w:t>Weak Copyleft</w:t>
            </w:r>
          </w:p>
        </w:tc>
        <w:tc>
          <w:tcPr>
            <w:tcW w:type="dxa" w:w="3120"/>
            <w:shd w:fill="F2F6FA" w:val="clear"/>
          </w:tcPr>
          <w:p>
            <w:r>
              <w:rPr>
                <w:rFonts w:ascii="Calibri" w:hAnsi="Calibri"/>
                <w:color w:val="333333"/>
                <w:sz w:val="18"/>
              </w:rPr>
              <w:t>LGPL</w:t>
            </w:r>
          </w:p>
        </w:tc>
        <w:tc>
          <w:tcPr>
            <w:tcW w:type="dxa" w:w="3120"/>
            <w:shd w:fill="F2F6FA" w:val="clear"/>
          </w:tcPr>
          <w:p>
            <w:r>
              <w:rPr>
                <w:rFonts w:ascii="Calibri" w:hAnsi="Calibri"/>
                <w:color w:val="333333"/>
                <w:sz w:val="18"/>
              </w:rPr>
              <w:t>Requires Legal Notification</w:t>
            </w:r>
          </w:p>
        </w:tc>
      </w:tr>
      <w:tr>
        <w:tc>
          <w:tcPr>
            <w:tcW w:type="dxa" w:w="3120"/>
          </w:tcPr>
          <w:p>
            <w:r>
              <w:rPr>
                <w:rFonts w:ascii="Calibri" w:hAnsi="Calibri"/>
                <w:color w:val="333333"/>
                <w:sz w:val="18"/>
              </w:rPr>
              <w:t>Strong Copyleft</w:t>
            </w:r>
          </w:p>
        </w:tc>
        <w:tc>
          <w:tcPr>
            <w:tcW w:type="dxa" w:w="3120"/>
          </w:tcPr>
          <w:p>
            <w:r>
              <w:rPr>
                <w:rFonts w:ascii="Calibri" w:hAnsi="Calibri"/>
                <w:color w:val="333333"/>
                <w:sz w:val="18"/>
              </w:rPr>
              <w:t>GPL, AGPL</w:t>
            </w:r>
          </w:p>
        </w:tc>
        <w:tc>
          <w:tcPr>
            <w:tcW w:type="dxa" w:w="3120"/>
          </w:tcPr>
          <w:p>
            <w:r>
              <w:rPr>
                <w:rFonts w:ascii="Calibri" w:hAnsi="Calibri"/>
                <w:color w:val="333333"/>
                <w:sz w:val="18"/>
              </w:rPr>
              <w:t>Prohibited in Proprietary Code</w:t>
            </w:r>
          </w:p>
        </w:tc>
      </w:tr>
    </w:tbl>
    <w:p/>
    <w:p>
      <w:pPr>
        <w:pStyle w:val="Heading1"/>
      </w:pPr>
      <w:r>
        <w:t>2. OSS Security and Compliance 0</w:t>
      </w:r>
    </w:p>
    <w:p>
      <w:pPr/>
      <w:r>
        <w:t xml:space="preserve">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w:t>
      </w:r>
    </w:p>
    <w:p>
      <w:pPr>
        <w:pStyle w:val="Heading1"/>
      </w:pPr>
      <w:r>
        <w:t>3. OSS Security and Compliance 1</w:t>
      </w:r>
    </w:p>
    <w:p>
      <w:pPr/>
      <w:r>
        <w:t xml:space="preserve">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w:t>
      </w:r>
    </w:p>
    <w:p>
      <w:pPr>
        <w:pStyle w:val="Heading1"/>
      </w:pPr>
      <w:r>
        <w:t>4. OSS Security and Compliance 2</w:t>
      </w:r>
    </w:p>
    <w:p>
      <w:pPr/>
      <w:r>
        <w:t xml:space="preserve">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w:t>
      </w:r>
    </w:p>
    <w:p>
      <w:pPr>
        <w:pStyle w:val="Heading1"/>
      </w:pPr>
      <w:r>
        <w:t>5. OSS Security and Compliance 3</w:t>
      </w:r>
    </w:p>
    <w:p>
      <w:pPr/>
      <w:r>
        <w:t xml:space="preserve">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w:t>
      </w:r>
    </w:p>
    <w:p>
      <w:pPr>
        <w:pStyle w:val="Heading1"/>
      </w:pPr>
      <w:r>
        <w:t>6. OSS Security and Compliance 4</w:t>
      </w:r>
    </w:p>
    <w:p>
      <w:pPr/>
      <w:r>
        <w:t xml:space="preserve">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w:t>
      </w:r>
    </w:p>
    <w:p>
      <w:pPr>
        <w:pStyle w:val="Heading1"/>
      </w:pPr>
      <w:r>
        <w:t>7. OSS Security and Compliance 5</w:t>
      </w:r>
    </w:p>
    <w:p>
      <w:pPr/>
      <w:r>
        <w:t xml:space="preserve">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w:t>
      </w:r>
    </w:p>
    <w:p>
      <w:pPr>
        <w:pStyle w:val="Heading1"/>
      </w:pPr>
      <w:r>
        <w:t>8. OSS Security and Compliance 6</w:t>
      </w:r>
    </w:p>
    <w:p>
      <w:pPr/>
      <w:r>
        <w:t xml:space="preserve">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w:t>
      </w:r>
    </w:p>
    <w:p>
      <w:pPr>
        <w:pStyle w:val="Heading1"/>
      </w:pPr>
      <w:r>
        <w:t>9. OSS Security and Compliance 7</w:t>
      </w:r>
    </w:p>
    <w:p>
      <w:pPr/>
      <w:r>
        <w:t xml:space="preserve">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w:t>
      </w:r>
    </w:p>
    <w:p>
      <w:pPr>
        <w:pStyle w:val="Heading1"/>
      </w:pPr>
      <w:r>
        <w:t>10. OSS Security and Compliance 8</w:t>
      </w:r>
    </w:p>
    <w:p>
      <w:pPr/>
      <w:r>
        <w:t xml:space="preserve">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w:t>
      </w:r>
    </w:p>
    <w:p>
      <w:pPr>
        <w:pStyle w:val="Heading1"/>
      </w:pPr>
      <w:r>
        <w:t>11. OSS Security and Compliance 9</w:t>
      </w:r>
    </w:p>
    <w:p>
      <w:pPr/>
      <w:r>
        <w:t xml:space="preserve">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w:t>
      </w:r>
    </w:p>
    <w:p>
      <w:pPr>
        <w:pStyle w:val="Heading1"/>
      </w:pPr>
      <w:r>
        <w:t>12. OSS Security and Compliance 10</w:t>
      </w:r>
    </w:p>
    <w:p>
      <w:pPr/>
      <w:r>
        <w:t xml:space="preserve">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w:t>
      </w:r>
    </w:p>
    <w:p>
      <w:pPr>
        <w:pStyle w:val="Heading1"/>
      </w:pPr>
      <w:r>
        <w:t>13. OSS Security and Compliance 11</w:t>
      </w:r>
    </w:p>
    <w:p>
      <w:pPr/>
      <w:r>
        <w:t xml:space="preserve">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w:t>
      </w:r>
    </w:p>
    <w:p>
      <w:pPr>
        <w:pStyle w:val="Heading1"/>
      </w:pPr>
      <w:r>
        <w:t>14. OSS Security and Compliance 12</w:t>
      </w:r>
    </w:p>
    <w:p>
      <w:pPr/>
      <w:r>
        <w:t xml:space="preserve">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w:t>
      </w:r>
    </w:p>
    <w:p>
      <w:pPr>
        <w:pStyle w:val="Heading1"/>
      </w:pPr>
      <w:r>
        <w:t>15. OSS Security and Compliance 13</w:t>
      </w:r>
    </w:p>
    <w:p>
      <w:pPr/>
      <w:r>
        <w:t xml:space="preserve">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w:t>
      </w:r>
    </w:p>
    <w:p>
      <w:pPr>
        <w:pStyle w:val="Heading1"/>
      </w:pPr>
      <w:r>
        <w:t>16. OSS Security and Compliance 14</w:t>
      </w:r>
    </w:p>
    <w:p>
      <w:pPr/>
      <w:r>
        <w:t xml:space="preserve">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All dependencies must be scanned by Snyk.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ENG-005</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