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Cloud Security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ENG-006</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Cloud Security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January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Engineering, IT, and Data &amp; AI staff</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ENG-001, ENG-002, ENG-003, ENG-007, ENG-008, SEC-001, SEC-002, SEC-005, SEC-008, DATA-004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The purpose of this policy is to establish the security framework for all cloud computing services utilized by Vistara Global Systems.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The purpose of this policy is to establish the security framework for all cloud computing services utilized by Vistara Global Systems.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The purpose of this policy is to establish the security framework for all cloud computing services utilized by Vistara Global Systems.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The purpose of this policy is to establish the security framework for all cloud computing services utilized by Vistara Global Systems.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2. Scope and Applicability</w:t>
      </w:r>
    </w:p>
    <w:p>
      <w:pPr/>
      <w:r>
        <w:t>This policy applies to all cloud services (IaaS, PaaS, SaaS) including AWS (primary), Azure (secondary), and GCP (specific workloads).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This policy applies to all cloud services (IaaS, PaaS, SaaS) including AWS (primary), Azure (secondary), and GCP (specific workloads).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This policy applies to all cloud services (IaaS, PaaS, SaaS) including AWS (primary), Azure (secondary), and GCP (specific workloads).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This policy applies to all cloud services (IaaS, PaaS, SaaS) including AWS (primary), Azure (secondary), and GCP (specific workloads).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ListBullet"/>
      </w:pPr>
      <w:r>
        <w:t>All full-time employees of Vistara Global Systems Pvt. Ltd.</w:t>
      </w:r>
    </w:p>
    <w:p>
      <w:pPr>
        <w:pStyle w:val="ListBullet"/>
      </w:pPr>
      <w:r>
        <w:t>Contractors and third-party vendors accessing Vistara systems.</w:t>
      </w:r>
    </w:p>
    <w:p>
      <w:pPr>
        <w:pStyle w:val="ListBullet"/>
      </w:pPr>
      <w:r>
        <w:t>All office locations including Bengaluru, Hyderabad, Pune, Mumbai, Gurugram, Chennai, Kolkata, New Delhi, Singapore, Dubai, London, Austin.</w:t>
      </w:r>
    </w:p>
    <w:p>
      <w:pPr>
        <w:pStyle w:val="ListBullet"/>
      </w:pPr>
      <w:r>
        <w:t>All cloud environments, data centers, and endpoint devices.</w:t>
      </w:r>
    </w:p>
    <w:p>
      <w:pPr>
        <w:pStyle w:val="Heading1"/>
      </w:pPr>
      <w:r>
        <w:t>3. Cloud Strategy and Shared Responsibility</w:t>
      </w:r>
    </w:p>
    <w:p>
      <w:pPr/>
      <w:r>
        <w:t>Vistara Global Systems adopts a multi-cloud strategy. AWS is the primary cloud provider, Azure is secondary, and GCP is used for specific data and ML workloads.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Vistara Global Systems adopts a multi-cloud strategy. AWS is the primary cloud provider, Azure is secondary, and GCP is used for specific data and ML workloads.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4. Cloud Identity and Access Management</w:t>
      </w:r>
    </w:p>
    <w:p>
      <w:pPr/>
      <w:r>
        <w:t>All cloud console access must be federated via Okta SSO. Multi-Factor Authentication (MFA) is strictly enforced for all users per SEC-004. Privileged access requires PAM per SEC-002.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All cloud console access must be federated via Okta SSO. Multi-Factor Authentication (MFA) is strictly enforced for all users per SEC-004. Privileged access requires PAM per SEC-002.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5. Cloud Network Security</w:t>
      </w:r>
    </w:p>
    <w:p>
      <w:pPr/>
      <w:r>
        <w:t>VPC and VNet isolation is required for all environments. Security groups must restrict ingress. No public IPs are allowed for internal services. WAF must be deployed for public-facing endpoints.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VPC and VNet isolation is required for all environments. Security groups must restrict ingress. No public IPs are allowed for internal services. WAF must be deployed for public-facing endpoints.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2"/>
      </w:pPr>
      <w:r>
        <w:t>6.. 6. Approved Cloud Services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Service Type</w:t>
            </w:r>
          </w:p>
        </w:tc>
        <w:tc>
          <w:tcPr>
            <w:tcW w:type="dxa" w:w="2340"/>
            <w:shd w:fill="1B3A5C" w:val="clear"/>
          </w:tcPr>
          <w:p>
            <w:pPr>
              <w:jc w:val="center"/>
            </w:pPr>
            <w:r>
              <w:rPr>
                <w:rFonts w:ascii="Calibri" w:hAnsi="Calibri"/>
                <w:b/>
                <w:color w:val="FFFFFF"/>
                <w:sz w:val="20"/>
              </w:rPr>
              <w:t>Provider</w:t>
            </w:r>
          </w:p>
        </w:tc>
        <w:tc>
          <w:tcPr>
            <w:tcW w:type="dxa" w:w="2340"/>
            <w:shd w:fill="1B3A5C" w:val="clear"/>
          </w:tcPr>
          <w:p>
            <w:pPr>
              <w:jc w:val="center"/>
            </w:pPr>
            <w:r>
              <w:rPr>
                <w:rFonts w:ascii="Calibri" w:hAnsi="Calibri"/>
                <w:b/>
                <w:color w:val="FFFFFF"/>
                <w:sz w:val="20"/>
              </w:rPr>
              <w:t>Approved Services</w:t>
            </w:r>
          </w:p>
        </w:tc>
        <w:tc>
          <w:tcPr>
            <w:tcW w:type="dxa" w:w="2340"/>
            <w:shd w:fill="1B3A5C" w:val="clear"/>
          </w:tcPr>
          <w:p>
            <w:pPr>
              <w:jc w:val="center"/>
            </w:pPr>
            <w:r>
              <w:rPr>
                <w:rFonts w:ascii="Calibri" w:hAnsi="Calibri"/>
                <w:b/>
                <w:color w:val="FFFFFF"/>
                <w:sz w:val="20"/>
              </w:rPr>
              <w:t>Prohibited Usage</w:t>
            </w:r>
          </w:p>
        </w:tc>
      </w:tr>
      <w:tr>
        <w:tc>
          <w:tcPr>
            <w:tcW w:type="dxa" w:w="2340"/>
          </w:tcPr>
          <w:p>
            <w:r>
              <w:rPr>
                <w:rFonts w:ascii="Calibri" w:hAnsi="Calibri"/>
                <w:color w:val="333333"/>
                <w:sz w:val="18"/>
              </w:rPr>
              <w:t>Type 0</w:t>
            </w:r>
          </w:p>
        </w:tc>
        <w:tc>
          <w:tcPr>
            <w:tcW w:type="dxa" w:w="2340"/>
          </w:tcPr>
          <w:p>
            <w:r>
              <w:rPr>
                <w:rFonts w:ascii="Calibri" w:hAnsi="Calibri"/>
                <w:color w:val="333333"/>
                <w:sz w:val="18"/>
              </w:rPr>
              <w:t>AWS</w:t>
            </w:r>
          </w:p>
        </w:tc>
        <w:tc>
          <w:tcPr>
            <w:tcW w:type="dxa" w:w="2340"/>
          </w:tcPr>
          <w:p>
            <w:r>
              <w:rPr>
                <w:rFonts w:ascii="Calibri" w:hAnsi="Calibri"/>
                <w:color w:val="333333"/>
                <w:sz w:val="18"/>
              </w:rPr>
              <w:t>Service 0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1</w:t>
            </w:r>
          </w:p>
        </w:tc>
        <w:tc>
          <w:tcPr>
            <w:tcW w:type="dxa" w:w="2340"/>
            <w:shd w:fill="F2F6FA" w:val="clear"/>
          </w:tcPr>
          <w:p>
            <w:r>
              <w:rPr>
                <w:rFonts w:ascii="Calibri" w:hAnsi="Calibri"/>
                <w:color w:val="333333"/>
                <w:sz w:val="18"/>
              </w:rPr>
              <w:t>Azure</w:t>
            </w:r>
          </w:p>
        </w:tc>
        <w:tc>
          <w:tcPr>
            <w:tcW w:type="dxa" w:w="2340"/>
            <w:shd w:fill="F2F6FA" w:val="clear"/>
          </w:tcPr>
          <w:p>
            <w:r>
              <w:rPr>
                <w:rFonts w:ascii="Calibri" w:hAnsi="Calibri"/>
                <w:color w:val="333333"/>
                <w:sz w:val="18"/>
              </w:rPr>
              <w:t>Service 1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2</w:t>
            </w:r>
          </w:p>
        </w:tc>
        <w:tc>
          <w:tcPr>
            <w:tcW w:type="dxa" w:w="2340"/>
          </w:tcPr>
          <w:p>
            <w:r>
              <w:rPr>
                <w:rFonts w:ascii="Calibri" w:hAnsi="Calibri"/>
                <w:color w:val="333333"/>
                <w:sz w:val="18"/>
              </w:rPr>
              <w:t>GCP</w:t>
            </w:r>
          </w:p>
        </w:tc>
        <w:tc>
          <w:tcPr>
            <w:tcW w:type="dxa" w:w="2340"/>
          </w:tcPr>
          <w:p>
            <w:r>
              <w:rPr>
                <w:rFonts w:ascii="Calibri" w:hAnsi="Calibri"/>
                <w:color w:val="333333"/>
                <w:sz w:val="18"/>
              </w:rPr>
              <w:t>Service 2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3</w:t>
            </w:r>
          </w:p>
        </w:tc>
        <w:tc>
          <w:tcPr>
            <w:tcW w:type="dxa" w:w="2340"/>
            <w:shd w:fill="F2F6FA" w:val="clear"/>
          </w:tcPr>
          <w:p>
            <w:r>
              <w:rPr>
                <w:rFonts w:ascii="Calibri" w:hAnsi="Calibri"/>
                <w:color w:val="333333"/>
                <w:sz w:val="18"/>
              </w:rPr>
              <w:t>AWS</w:t>
            </w:r>
          </w:p>
        </w:tc>
        <w:tc>
          <w:tcPr>
            <w:tcW w:type="dxa" w:w="2340"/>
            <w:shd w:fill="F2F6FA" w:val="clear"/>
          </w:tcPr>
          <w:p>
            <w:r>
              <w:rPr>
                <w:rFonts w:ascii="Calibri" w:hAnsi="Calibri"/>
                <w:color w:val="333333"/>
                <w:sz w:val="18"/>
              </w:rPr>
              <w:t>Service 3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4</w:t>
            </w:r>
          </w:p>
        </w:tc>
        <w:tc>
          <w:tcPr>
            <w:tcW w:type="dxa" w:w="2340"/>
          </w:tcPr>
          <w:p>
            <w:r>
              <w:rPr>
                <w:rFonts w:ascii="Calibri" w:hAnsi="Calibri"/>
                <w:color w:val="333333"/>
                <w:sz w:val="18"/>
              </w:rPr>
              <w:t>Azure</w:t>
            </w:r>
          </w:p>
        </w:tc>
        <w:tc>
          <w:tcPr>
            <w:tcW w:type="dxa" w:w="2340"/>
          </w:tcPr>
          <w:p>
            <w:r>
              <w:rPr>
                <w:rFonts w:ascii="Calibri" w:hAnsi="Calibri"/>
                <w:color w:val="333333"/>
                <w:sz w:val="18"/>
              </w:rPr>
              <w:t>Service 4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5</w:t>
            </w:r>
          </w:p>
        </w:tc>
        <w:tc>
          <w:tcPr>
            <w:tcW w:type="dxa" w:w="2340"/>
            <w:shd w:fill="F2F6FA" w:val="clear"/>
          </w:tcPr>
          <w:p>
            <w:r>
              <w:rPr>
                <w:rFonts w:ascii="Calibri" w:hAnsi="Calibri"/>
                <w:color w:val="333333"/>
                <w:sz w:val="18"/>
              </w:rPr>
              <w:t>GCP</w:t>
            </w:r>
          </w:p>
        </w:tc>
        <w:tc>
          <w:tcPr>
            <w:tcW w:type="dxa" w:w="2340"/>
            <w:shd w:fill="F2F6FA" w:val="clear"/>
          </w:tcPr>
          <w:p>
            <w:r>
              <w:rPr>
                <w:rFonts w:ascii="Calibri" w:hAnsi="Calibri"/>
                <w:color w:val="333333"/>
                <w:sz w:val="18"/>
              </w:rPr>
              <w:t>Service 5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6</w:t>
            </w:r>
          </w:p>
        </w:tc>
        <w:tc>
          <w:tcPr>
            <w:tcW w:type="dxa" w:w="2340"/>
          </w:tcPr>
          <w:p>
            <w:r>
              <w:rPr>
                <w:rFonts w:ascii="Calibri" w:hAnsi="Calibri"/>
                <w:color w:val="333333"/>
                <w:sz w:val="18"/>
              </w:rPr>
              <w:t>AWS</w:t>
            </w:r>
          </w:p>
        </w:tc>
        <w:tc>
          <w:tcPr>
            <w:tcW w:type="dxa" w:w="2340"/>
          </w:tcPr>
          <w:p>
            <w:r>
              <w:rPr>
                <w:rFonts w:ascii="Calibri" w:hAnsi="Calibri"/>
                <w:color w:val="333333"/>
                <w:sz w:val="18"/>
              </w:rPr>
              <w:t>Service 6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7</w:t>
            </w:r>
          </w:p>
        </w:tc>
        <w:tc>
          <w:tcPr>
            <w:tcW w:type="dxa" w:w="2340"/>
            <w:shd w:fill="F2F6FA" w:val="clear"/>
          </w:tcPr>
          <w:p>
            <w:r>
              <w:rPr>
                <w:rFonts w:ascii="Calibri" w:hAnsi="Calibri"/>
                <w:color w:val="333333"/>
                <w:sz w:val="18"/>
              </w:rPr>
              <w:t>Azure</w:t>
            </w:r>
          </w:p>
        </w:tc>
        <w:tc>
          <w:tcPr>
            <w:tcW w:type="dxa" w:w="2340"/>
            <w:shd w:fill="F2F6FA" w:val="clear"/>
          </w:tcPr>
          <w:p>
            <w:r>
              <w:rPr>
                <w:rFonts w:ascii="Calibri" w:hAnsi="Calibri"/>
                <w:color w:val="333333"/>
                <w:sz w:val="18"/>
              </w:rPr>
              <w:t>Service 7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8</w:t>
            </w:r>
          </w:p>
        </w:tc>
        <w:tc>
          <w:tcPr>
            <w:tcW w:type="dxa" w:w="2340"/>
          </w:tcPr>
          <w:p>
            <w:r>
              <w:rPr>
                <w:rFonts w:ascii="Calibri" w:hAnsi="Calibri"/>
                <w:color w:val="333333"/>
                <w:sz w:val="18"/>
              </w:rPr>
              <w:t>GCP</w:t>
            </w:r>
          </w:p>
        </w:tc>
        <w:tc>
          <w:tcPr>
            <w:tcW w:type="dxa" w:w="2340"/>
          </w:tcPr>
          <w:p>
            <w:r>
              <w:rPr>
                <w:rFonts w:ascii="Calibri" w:hAnsi="Calibri"/>
                <w:color w:val="333333"/>
                <w:sz w:val="18"/>
              </w:rPr>
              <w:t>Service 8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9</w:t>
            </w:r>
          </w:p>
        </w:tc>
        <w:tc>
          <w:tcPr>
            <w:tcW w:type="dxa" w:w="2340"/>
            <w:shd w:fill="F2F6FA" w:val="clear"/>
          </w:tcPr>
          <w:p>
            <w:r>
              <w:rPr>
                <w:rFonts w:ascii="Calibri" w:hAnsi="Calibri"/>
                <w:color w:val="333333"/>
                <w:sz w:val="18"/>
              </w:rPr>
              <w:t>AWS</w:t>
            </w:r>
          </w:p>
        </w:tc>
        <w:tc>
          <w:tcPr>
            <w:tcW w:type="dxa" w:w="2340"/>
            <w:shd w:fill="F2F6FA" w:val="clear"/>
          </w:tcPr>
          <w:p>
            <w:r>
              <w:rPr>
                <w:rFonts w:ascii="Calibri" w:hAnsi="Calibri"/>
                <w:color w:val="333333"/>
                <w:sz w:val="18"/>
              </w:rPr>
              <w:t>Service 9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10</w:t>
            </w:r>
          </w:p>
        </w:tc>
        <w:tc>
          <w:tcPr>
            <w:tcW w:type="dxa" w:w="2340"/>
          </w:tcPr>
          <w:p>
            <w:r>
              <w:rPr>
                <w:rFonts w:ascii="Calibri" w:hAnsi="Calibri"/>
                <w:color w:val="333333"/>
                <w:sz w:val="18"/>
              </w:rPr>
              <w:t>Azure</w:t>
            </w:r>
          </w:p>
        </w:tc>
        <w:tc>
          <w:tcPr>
            <w:tcW w:type="dxa" w:w="2340"/>
          </w:tcPr>
          <w:p>
            <w:r>
              <w:rPr>
                <w:rFonts w:ascii="Calibri" w:hAnsi="Calibri"/>
                <w:color w:val="333333"/>
                <w:sz w:val="18"/>
              </w:rPr>
              <w:t>Service 10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11</w:t>
            </w:r>
          </w:p>
        </w:tc>
        <w:tc>
          <w:tcPr>
            <w:tcW w:type="dxa" w:w="2340"/>
            <w:shd w:fill="F2F6FA" w:val="clear"/>
          </w:tcPr>
          <w:p>
            <w:r>
              <w:rPr>
                <w:rFonts w:ascii="Calibri" w:hAnsi="Calibri"/>
                <w:color w:val="333333"/>
                <w:sz w:val="18"/>
              </w:rPr>
              <w:t>GCP</w:t>
            </w:r>
          </w:p>
        </w:tc>
        <w:tc>
          <w:tcPr>
            <w:tcW w:type="dxa" w:w="2340"/>
            <w:shd w:fill="F2F6FA" w:val="clear"/>
          </w:tcPr>
          <w:p>
            <w:r>
              <w:rPr>
                <w:rFonts w:ascii="Calibri" w:hAnsi="Calibri"/>
                <w:color w:val="333333"/>
                <w:sz w:val="18"/>
              </w:rPr>
              <w:t>Service 11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12</w:t>
            </w:r>
          </w:p>
        </w:tc>
        <w:tc>
          <w:tcPr>
            <w:tcW w:type="dxa" w:w="2340"/>
          </w:tcPr>
          <w:p>
            <w:r>
              <w:rPr>
                <w:rFonts w:ascii="Calibri" w:hAnsi="Calibri"/>
                <w:color w:val="333333"/>
                <w:sz w:val="18"/>
              </w:rPr>
              <w:t>AWS</w:t>
            </w:r>
          </w:p>
        </w:tc>
        <w:tc>
          <w:tcPr>
            <w:tcW w:type="dxa" w:w="2340"/>
          </w:tcPr>
          <w:p>
            <w:r>
              <w:rPr>
                <w:rFonts w:ascii="Calibri" w:hAnsi="Calibri"/>
                <w:color w:val="333333"/>
                <w:sz w:val="18"/>
              </w:rPr>
              <w:t>Service 12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13</w:t>
            </w:r>
          </w:p>
        </w:tc>
        <w:tc>
          <w:tcPr>
            <w:tcW w:type="dxa" w:w="2340"/>
            <w:shd w:fill="F2F6FA" w:val="clear"/>
          </w:tcPr>
          <w:p>
            <w:r>
              <w:rPr>
                <w:rFonts w:ascii="Calibri" w:hAnsi="Calibri"/>
                <w:color w:val="333333"/>
                <w:sz w:val="18"/>
              </w:rPr>
              <w:t>Azure</w:t>
            </w:r>
          </w:p>
        </w:tc>
        <w:tc>
          <w:tcPr>
            <w:tcW w:type="dxa" w:w="2340"/>
            <w:shd w:fill="F2F6FA" w:val="clear"/>
          </w:tcPr>
          <w:p>
            <w:r>
              <w:rPr>
                <w:rFonts w:ascii="Calibri" w:hAnsi="Calibri"/>
                <w:color w:val="333333"/>
                <w:sz w:val="18"/>
              </w:rPr>
              <w:t>Service 13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14</w:t>
            </w:r>
          </w:p>
        </w:tc>
        <w:tc>
          <w:tcPr>
            <w:tcW w:type="dxa" w:w="2340"/>
          </w:tcPr>
          <w:p>
            <w:r>
              <w:rPr>
                <w:rFonts w:ascii="Calibri" w:hAnsi="Calibri"/>
                <w:color w:val="333333"/>
                <w:sz w:val="18"/>
              </w:rPr>
              <w:t>GCP</w:t>
            </w:r>
          </w:p>
        </w:tc>
        <w:tc>
          <w:tcPr>
            <w:tcW w:type="dxa" w:w="2340"/>
          </w:tcPr>
          <w:p>
            <w:r>
              <w:rPr>
                <w:rFonts w:ascii="Calibri" w:hAnsi="Calibri"/>
                <w:color w:val="333333"/>
                <w:sz w:val="18"/>
              </w:rPr>
              <w:t>Service 14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15</w:t>
            </w:r>
          </w:p>
        </w:tc>
        <w:tc>
          <w:tcPr>
            <w:tcW w:type="dxa" w:w="2340"/>
            <w:shd w:fill="F2F6FA" w:val="clear"/>
          </w:tcPr>
          <w:p>
            <w:r>
              <w:rPr>
                <w:rFonts w:ascii="Calibri" w:hAnsi="Calibri"/>
                <w:color w:val="333333"/>
                <w:sz w:val="18"/>
              </w:rPr>
              <w:t>AWS</w:t>
            </w:r>
          </w:p>
        </w:tc>
        <w:tc>
          <w:tcPr>
            <w:tcW w:type="dxa" w:w="2340"/>
            <w:shd w:fill="F2F6FA" w:val="clear"/>
          </w:tcPr>
          <w:p>
            <w:r>
              <w:rPr>
                <w:rFonts w:ascii="Calibri" w:hAnsi="Calibri"/>
                <w:color w:val="333333"/>
                <w:sz w:val="18"/>
              </w:rPr>
              <w:t>Service 15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16</w:t>
            </w:r>
          </w:p>
        </w:tc>
        <w:tc>
          <w:tcPr>
            <w:tcW w:type="dxa" w:w="2340"/>
          </w:tcPr>
          <w:p>
            <w:r>
              <w:rPr>
                <w:rFonts w:ascii="Calibri" w:hAnsi="Calibri"/>
                <w:color w:val="333333"/>
                <w:sz w:val="18"/>
              </w:rPr>
              <w:t>Azure</w:t>
            </w:r>
          </w:p>
        </w:tc>
        <w:tc>
          <w:tcPr>
            <w:tcW w:type="dxa" w:w="2340"/>
          </w:tcPr>
          <w:p>
            <w:r>
              <w:rPr>
                <w:rFonts w:ascii="Calibri" w:hAnsi="Calibri"/>
                <w:color w:val="333333"/>
                <w:sz w:val="18"/>
              </w:rPr>
              <w:t>Service 16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17</w:t>
            </w:r>
          </w:p>
        </w:tc>
        <w:tc>
          <w:tcPr>
            <w:tcW w:type="dxa" w:w="2340"/>
            <w:shd w:fill="F2F6FA" w:val="clear"/>
          </w:tcPr>
          <w:p>
            <w:r>
              <w:rPr>
                <w:rFonts w:ascii="Calibri" w:hAnsi="Calibri"/>
                <w:color w:val="333333"/>
                <w:sz w:val="18"/>
              </w:rPr>
              <w:t>GCP</w:t>
            </w:r>
          </w:p>
        </w:tc>
        <w:tc>
          <w:tcPr>
            <w:tcW w:type="dxa" w:w="2340"/>
            <w:shd w:fill="F2F6FA" w:val="clear"/>
          </w:tcPr>
          <w:p>
            <w:r>
              <w:rPr>
                <w:rFonts w:ascii="Calibri" w:hAnsi="Calibri"/>
                <w:color w:val="333333"/>
                <w:sz w:val="18"/>
              </w:rPr>
              <w:t>Service 17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18</w:t>
            </w:r>
          </w:p>
        </w:tc>
        <w:tc>
          <w:tcPr>
            <w:tcW w:type="dxa" w:w="2340"/>
          </w:tcPr>
          <w:p>
            <w:r>
              <w:rPr>
                <w:rFonts w:ascii="Calibri" w:hAnsi="Calibri"/>
                <w:color w:val="333333"/>
                <w:sz w:val="18"/>
              </w:rPr>
              <w:t>AWS</w:t>
            </w:r>
          </w:p>
        </w:tc>
        <w:tc>
          <w:tcPr>
            <w:tcW w:type="dxa" w:w="2340"/>
          </w:tcPr>
          <w:p>
            <w:r>
              <w:rPr>
                <w:rFonts w:ascii="Calibri" w:hAnsi="Calibri"/>
                <w:color w:val="333333"/>
                <w:sz w:val="18"/>
              </w:rPr>
              <w:t>Service 18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19</w:t>
            </w:r>
          </w:p>
        </w:tc>
        <w:tc>
          <w:tcPr>
            <w:tcW w:type="dxa" w:w="2340"/>
            <w:shd w:fill="F2F6FA" w:val="clear"/>
          </w:tcPr>
          <w:p>
            <w:r>
              <w:rPr>
                <w:rFonts w:ascii="Calibri" w:hAnsi="Calibri"/>
                <w:color w:val="333333"/>
                <w:sz w:val="18"/>
              </w:rPr>
              <w:t>Azure</w:t>
            </w:r>
          </w:p>
        </w:tc>
        <w:tc>
          <w:tcPr>
            <w:tcW w:type="dxa" w:w="2340"/>
            <w:shd w:fill="F2F6FA" w:val="clear"/>
          </w:tcPr>
          <w:p>
            <w:r>
              <w:rPr>
                <w:rFonts w:ascii="Calibri" w:hAnsi="Calibri"/>
                <w:color w:val="333333"/>
                <w:sz w:val="18"/>
              </w:rPr>
              <w:t>Service 19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20</w:t>
            </w:r>
          </w:p>
        </w:tc>
        <w:tc>
          <w:tcPr>
            <w:tcW w:type="dxa" w:w="2340"/>
          </w:tcPr>
          <w:p>
            <w:r>
              <w:rPr>
                <w:rFonts w:ascii="Calibri" w:hAnsi="Calibri"/>
                <w:color w:val="333333"/>
                <w:sz w:val="18"/>
              </w:rPr>
              <w:t>GCP</w:t>
            </w:r>
          </w:p>
        </w:tc>
        <w:tc>
          <w:tcPr>
            <w:tcW w:type="dxa" w:w="2340"/>
          </w:tcPr>
          <w:p>
            <w:r>
              <w:rPr>
                <w:rFonts w:ascii="Calibri" w:hAnsi="Calibri"/>
                <w:color w:val="333333"/>
                <w:sz w:val="18"/>
              </w:rPr>
              <w:t>Service 20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21</w:t>
            </w:r>
          </w:p>
        </w:tc>
        <w:tc>
          <w:tcPr>
            <w:tcW w:type="dxa" w:w="2340"/>
            <w:shd w:fill="F2F6FA" w:val="clear"/>
          </w:tcPr>
          <w:p>
            <w:r>
              <w:rPr>
                <w:rFonts w:ascii="Calibri" w:hAnsi="Calibri"/>
                <w:color w:val="333333"/>
                <w:sz w:val="18"/>
              </w:rPr>
              <w:t>AWS</w:t>
            </w:r>
          </w:p>
        </w:tc>
        <w:tc>
          <w:tcPr>
            <w:tcW w:type="dxa" w:w="2340"/>
            <w:shd w:fill="F2F6FA" w:val="clear"/>
          </w:tcPr>
          <w:p>
            <w:r>
              <w:rPr>
                <w:rFonts w:ascii="Calibri" w:hAnsi="Calibri"/>
                <w:color w:val="333333"/>
                <w:sz w:val="18"/>
              </w:rPr>
              <w:t>Service 21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22</w:t>
            </w:r>
          </w:p>
        </w:tc>
        <w:tc>
          <w:tcPr>
            <w:tcW w:type="dxa" w:w="2340"/>
          </w:tcPr>
          <w:p>
            <w:r>
              <w:rPr>
                <w:rFonts w:ascii="Calibri" w:hAnsi="Calibri"/>
                <w:color w:val="333333"/>
                <w:sz w:val="18"/>
              </w:rPr>
              <w:t>Azure</w:t>
            </w:r>
          </w:p>
        </w:tc>
        <w:tc>
          <w:tcPr>
            <w:tcW w:type="dxa" w:w="2340"/>
          </w:tcPr>
          <w:p>
            <w:r>
              <w:rPr>
                <w:rFonts w:ascii="Calibri" w:hAnsi="Calibri"/>
                <w:color w:val="333333"/>
                <w:sz w:val="18"/>
              </w:rPr>
              <w:t>Service 22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23</w:t>
            </w:r>
          </w:p>
        </w:tc>
        <w:tc>
          <w:tcPr>
            <w:tcW w:type="dxa" w:w="2340"/>
            <w:shd w:fill="F2F6FA" w:val="clear"/>
          </w:tcPr>
          <w:p>
            <w:r>
              <w:rPr>
                <w:rFonts w:ascii="Calibri" w:hAnsi="Calibri"/>
                <w:color w:val="333333"/>
                <w:sz w:val="18"/>
              </w:rPr>
              <w:t>GCP</w:t>
            </w:r>
          </w:p>
        </w:tc>
        <w:tc>
          <w:tcPr>
            <w:tcW w:type="dxa" w:w="2340"/>
            <w:shd w:fill="F2F6FA" w:val="clear"/>
          </w:tcPr>
          <w:p>
            <w:r>
              <w:rPr>
                <w:rFonts w:ascii="Calibri" w:hAnsi="Calibri"/>
                <w:color w:val="333333"/>
                <w:sz w:val="18"/>
              </w:rPr>
              <w:t>Service 23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24</w:t>
            </w:r>
          </w:p>
        </w:tc>
        <w:tc>
          <w:tcPr>
            <w:tcW w:type="dxa" w:w="2340"/>
          </w:tcPr>
          <w:p>
            <w:r>
              <w:rPr>
                <w:rFonts w:ascii="Calibri" w:hAnsi="Calibri"/>
                <w:color w:val="333333"/>
                <w:sz w:val="18"/>
              </w:rPr>
              <w:t>AWS</w:t>
            </w:r>
          </w:p>
        </w:tc>
        <w:tc>
          <w:tcPr>
            <w:tcW w:type="dxa" w:w="2340"/>
          </w:tcPr>
          <w:p>
            <w:r>
              <w:rPr>
                <w:rFonts w:ascii="Calibri" w:hAnsi="Calibri"/>
                <w:color w:val="333333"/>
                <w:sz w:val="18"/>
              </w:rPr>
              <w:t>Service 24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25</w:t>
            </w:r>
          </w:p>
        </w:tc>
        <w:tc>
          <w:tcPr>
            <w:tcW w:type="dxa" w:w="2340"/>
            <w:shd w:fill="F2F6FA" w:val="clear"/>
          </w:tcPr>
          <w:p>
            <w:r>
              <w:rPr>
                <w:rFonts w:ascii="Calibri" w:hAnsi="Calibri"/>
                <w:color w:val="333333"/>
                <w:sz w:val="18"/>
              </w:rPr>
              <w:t>Azure</w:t>
            </w:r>
          </w:p>
        </w:tc>
        <w:tc>
          <w:tcPr>
            <w:tcW w:type="dxa" w:w="2340"/>
            <w:shd w:fill="F2F6FA" w:val="clear"/>
          </w:tcPr>
          <w:p>
            <w:r>
              <w:rPr>
                <w:rFonts w:ascii="Calibri" w:hAnsi="Calibri"/>
                <w:color w:val="333333"/>
                <w:sz w:val="18"/>
              </w:rPr>
              <w:t>Service 25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26</w:t>
            </w:r>
          </w:p>
        </w:tc>
        <w:tc>
          <w:tcPr>
            <w:tcW w:type="dxa" w:w="2340"/>
          </w:tcPr>
          <w:p>
            <w:r>
              <w:rPr>
                <w:rFonts w:ascii="Calibri" w:hAnsi="Calibri"/>
                <w:color w:val="333333"/>
                <w:sz w:val="18"/>
              </w:rPr>
              <w:t>GCP</w:t>
            </w:r>
          </w:p>
        </w:tc>
        <w:tc>
          <w:tcPr>
            <w:tcW w:type="dxa" w:w="2340"/>
          </w:tcPr>
          <w:p>
            <w:r>
              <w:rPr>
                <w:rFonts w:ascii="Calibri" w:hAnsi="Calibri"/>
                <w:color w:val="333333"/>
                <w:sz w:val="18"/>
              </w:rPr>
              <w:t>Service 26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27</w:t>
            </w:r>
          </w:p>
        </w:tc>
        <w:tc>
          <w:tcPr>
            <w:tcW w:type="dxa" w:w="2340"/>
            <w:shd w:fill="F2F6FA" w:val="clear"/>
          </w:tcPr>
          <w:p>
            <w:r>
              <w:rPr>
                <w:rFonts w:ascii="Calibri" w:hAnsi="Calibri"/>
                <w:color w:val="333333"/>
                <w:sz w:val="18"/>
              </w:rPr>
              <w:t>AWS</w:t>
            </w:r>
          </w:p>
        </w:tc>
        <w:tc>
          <w:tcPr>
            <w:tcW w:type="dxa" w:w="2340"/>
            <w:shd w:fill="F2F6FA" w:val="clear"/>
          </w:tcPr>
          <w:p>
            <w:r>
              <w:rPr>
                <w:rFonts w:ascii="Calibri" w:hAnsi="Calibri"/>
                <w:color w:val="333333"/>
                <w:sz w:val="18"/>
              </w:rPr>
              <w:t>Service 27 (e.g., EC2, S3, AKS)</w:t>
            </w:r>
          </w:p>
        </w:tc>
        <w:tc>
          <w:tcPr>
            <w:tcW w:type="dxa" w:w="2340"/>
            <w:shd w:fill="F2F6FA" w:val="clear"/>
          </w:tcPr>
          <w:p>
            <w:r>
              <w:rPr>
                <w:rFonts w:ascii="Calibri" w:hAnsi="Calibri"/>
                <w:color w:val="333333"/>
                <w:sz w:val="18"/>
              </w:rPr>
              <w:t>Personal accounts, shadow IT</w:t>
            </w:r>
          </w:p>
        </w:tc>
      </w:tr>
      <w:tr>
        <w:tc>
          <w:tcPr>
            <w:tcW w:type="dxa" w:w="2340"/>
          </w:tcPr>
          <w:p>
            <w:r>
              <w:rPr>
                <w:rFonts w:ascii="Calibri" w:hAnsi="Calibri"/>
                <w:color w:val="333333"/>
                <w:sz w:val="18"/>
              </w:rPr>
              <w:t>Type 28</w:t>
            </w:r>
          </w:p>
        </w:tc>
        <w:tc>
          <w:tcPr>
            <w:tcW w:type="dxa" w:w="2340"/>
          </w:tcPr>
          <w:p>
            <w:r>
              <w:rPr>
                <w:rFonts w:ascii="Calibri" w:hAnsi="Calibri"/>
                <w:color w:val="333333"/>
                <w:sz w:val="18"/>
              </w:rPr>
              <w:t>Azure</w:t>
            </w:r>
          </w:p>
        </w:tc>
        <w:tc>
          <w:tcPr>
            <w:tcW w:type="dxa" w:w="2340"/>
          </w:tcPr>
          <w:p>
            <w:r>
              <w:rPr>
                <w:rFonts w:ascii="Calibri" w:hAnsi="Calibri"/>
                <w:color w:val="333333"/>
                <w:sz w:val="18"/>
              </w:rPr>
              <w:t>Service 28 (e.g., EC2, S3, AKS)</w:t>
            </w:r>
          </w:p>
        </w:tc>
        <w:tc>
          <w:tcPr>
            <w:tcW w:type="dxa" w:w="2340"/>
          </w:tcPr>
          <w:p>
            <w:r>
              <w:rPr>
                <w:rFonts w:ascii="Calibri" w:hAnsi="Calibri"/>
                <w:color w:val="333333"/>
                <w:sz w:val="18"/>
              </w:rPr>
              <w:t>Personal accounts, shadow IT</w:t>
            </w:r>
          </w:p>
        </w:tc>
      </w:tr>
      <w:tr>
        <w:tc>
          <w:tcPr>
            <w:tcW w:type="dxa" w:w="2340"/>
            <w:shd w:fill="F2F6FA" w:val="clear"/>
          </w:tcPr>
          <w:p>
            <w:r>
              <w:rPr>
                <w:rFonts w:ascii="Calibri" w:hAnsi="Calibri"/>
                <w:color w:val="333333"/>
                <w:sz w:val="18"/>
              </w:rPr>
              <w:t>Type 29</w:t>
            </w:r>
          </w:p>
        </w:tc>
        <w:tc>
          <w:tcPr>
            <w:tcW w:type="dxa" w:w="2340"/>
            <w:shd w:fill="F2F6FA" w:val="clear"/>
          </w:tcPr>
          <w:p>
            <w:r>
              <w:rPr>
                <w:rFonts w:ascii="Calibri" w:hAnsi="Calibri"/>
                <w:color w:val="333333"/>
                <w:sz w:val="18"/>
              </w:rPr>
              <w:t>GCP</w:t>
            </w:r>
          </w:p>
        </w:tc>
        <w:tc>
          <w:tcPr>
            <w:tcW w:type="dxa" w:w="2340"/>
            <w:shd w:fill="F2F6FA" w:val="clear"/>
          </w:tcPr>
          <w:p>
            <w:r>
              <w:rPr>
                <w:rFonts w:ascii="Calibri" w:hAnsi="Calibri"/>
                <w:color w:val="333333"/>
                <w:sz w:val="18"/>
              </w:rPr>
              <w:t>Service 29 (e.g., EC2, S3, AKS)</w:t>
            </w:r>
          </w:p>
        </w:tc>
        <w:tc>
          <w:tcPr>
            <w:tcW w:type="dxa" w:w="2340"/>
            <w:shd w:fill="F2F6FA" w:val="clear"/>
          </w:tcPr>
          <w:p>
            <w:r>
              <w:rPr>
                <w:rFonts w:ascii="Calibri" w:hAnsi="Calibri"/>
                <w:color w:val="333333"/>
                <w:sz w:val="18"/>
              </w:rPr>
              <w:t>Personal accounts, shadow IT</w:t>
            </w:r>
          </w:p>
        </w:tc>
      </w:tr>
    </w:tbl>
    <w:p/>
    <w:p>
      <w:pPr>
        <w:pStyle w:val="Heading1"/>
      </w:pPr>
      <w:r>
        <w:t>7. Data Protection and Storage Security</w:t>
      </w:r>
    </w:p>
    <w:p>
      <w:pPr/>
      <w:r>
        <w:t>All data at rest must be encrypted using AES-256. Data in transit must use TLS 1.2+. Customer-managed keys are required for Restricted data. Public S3/Blob buckets are strictly prohibited.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All data at rest must be encrypted using AES-256. Data in transit must use TLS 1.2+. Customer-managed keys are required for Restricted data. Public S3/Blob buckets are strictly prohibited.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8. Container and Serverless Security</w:t>
      </w:r>
    </w:p>
    <w:p>
      <w:pPr/>
      <w:r>
        <w:t>All container images must be scanned in ECR/ACR before deployment. Signed images and runtime protection are mandatory. Containers must not run as root.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All container images must be scanned in ECR/ACR before deployment. Signed images and runtime protection are mandatory. Containers must not run as root.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9. Frequently Asked Questions (FAQ)</w:t>
      </w:r>
    </w:p>
    <w:p>
      <w:r>
        <w:rPr>
          <w:rFonts w:ascii="Calibri" w:hAnsi="Calibri"/>
          <w:b/>
          <w:color w:val="1B3A5C"/>
          <w:sz w:val="22"/>
        </w:rPr>
        <w:t>Q: Can I use an unapproved SaaS tool for a quick proof of concept (PoC) 0?</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2?</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3?</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4?</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5?</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6?</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7?</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8?</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9?</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10?</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11?</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12?</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13?</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14?</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15?</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16?</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17?</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18?</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r>
        <w:rPr>
          <w:rFonts w:ascii="Calibri" w:hAnsi="Calibri"/>
          <w:b/>
          <w:color w:val="1B3A5C"/>
          <w:sz w:val="22"/>
        </w:rPr>
        <w:t>Q: Can I use an unapproved SaaS tool for a quick proof of concept (PoC) 19?</w:t>
      </w:r>
    </w:p>
    <w:p>
      <w:pPr>
        <w:spacing w:after="240"/>
      </w:pPr>
      <w:r>
        <w:rPr>
          <w:rFonts w:ascii="Calibri" w:hAnsi="Calibri"/>
          <w:color w:val="333333"/>
          <w:sz w:val="22"/>
        </w:rPr>
        <w:t>A: No. All SaaS tools must undergo security review by the IT and Security team prior to any data upload or integration, even for PoC purposes. Shadow IT violates this policy.</w:t>
      </w:r>
    </w:p>
    <w:p>
      <w:pPr>
        <w:pStyle w:val="Heading1"/>
      </w:pPr>
      <w:r>
        <w:t>10. Policy Scenarios</w:t>
      </w:r>
    </w:p>
    <w:p>
      <w:pPr>
        <w:pStyle w:val="Heading3"/>
      </w:pPr>
      <w:r>
        <w:t>Scenario 1: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2: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3: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4: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5: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6: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7: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8: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9: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10: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11: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12: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13: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14: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3"/>
      </w:pPr>
      <w:r>
        <w:t>Scenario 15: S3 Bucket Misconfiguration</w:t>
      </w:r>
    </w:p>
    <w:p>
      <w:r>
        <w:rPr>
          <w:b/>
          <w:color w:val="1B3A5C"/>
        </w:rPr>
        <w:t xml:space="preserve">Situation: </w:t>
      </w:r>
      <w:r>
        <w:t>A developer accidentally makes an S3 bucket public.</w:t>
      </w:r>
    </w:p>
    <w:p>
      <w:r>
        <w:rPr>
          <w:b/>
          <w:color w:val="1B3A5C"/>
        </w:rPr>
        <w:t xml:space="preserve">Relevant Requirements: </w:t>
      </w:r>
      <w:r>
        <w:t>No public buckets allowed. Centralized monitoring (CloudTrail/SIEM) must alert immediately.</w:t>
      </w:r>
    </w:p>
    <w:p>
      <w:r>
        <w:rPr>
          <w:b/>
          <w:color w:val="1B3A5C"/>
        </w:rPr>
        <w:t xml:space="preserve">Expected Process: </w:t>
      </w:r>
      <w:r>
        <w:t>Automated remediation scripts will instantly make the bucket private and send an alert to the SOC.</w:t>
      </w:r>
    </w:p>
    <w:p>
      <w:r>
        <w:rPr>
          <w:b/>
          <w:color w:val="1B3A5C"/>
        </w:rPr>
        <w:t xml:space="preserve">Outcome: </w:t>
      </w:r>
      <w:r>
        <w:t>The risk is mitigated automatically within seconds.</w:t>
      </w:r>
    </w:p>
    <w:p/>
    <w:p>
      <w:pPr>
        <w:pStyle w:val="Heading1"/>
      </w:pPr>
      <w:r>
        <w:t>11.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2025</w:t>
            </w:r>
          </w:p>
        </w:tc>
        <w:tc>
          <w:tcPr>
            <w:tcW w:type="dxa" w:w="2160"/>
          </w:tcPr>
          <w:p>
            <w:r>
              <w:rPr>
                <w:rFonts w:ascii="Calibri" w:hAnsi="Calibri"/>
                <w:color w:val="333333"/>
                <w:sz w:val="18"/>
              </w:rPr>
              <w:t>Cloud Security Team</w:t>
            </w:r>
          </w:p>
        </w:tc>
        <w:tc>
          <w:tcPr>
            <w:tcW w:type="dxa" w:w="4320"/>
          </w:tcPr>
          <w:p>
            <w:r>
              <w:rPr>
                <w:rFonts w:ascii="Calibri" w:hAnsi="Calibri"/>
                <w:color w:val="333333"/>
                <w:sz w:val="18"/>
              </w:rPr>
              <w:t>Initial draft.</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01 Jan 2026</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Added multi-cloud strategy details.</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Jul 2026</w:t>
            </w:r>
          </w:p>
        </w:tc>
        <w:tc>
          <w:tcPr>
            <w:tcW w:type="dxa" w:w="2160"/>
          </w:tcPr>
          <w:p>
            <w:r>
              <w:rPr>
                <w:rFonts w:ascii="Calibri" w:hAnsi="Calibri"/>
                <w:color w:val="333333"/>
                <w:sz w:val="18"/>
              </w:rPr>
              <w:t>CISO</w:t>
            </w:r>
          </w:p>
        </w:tc>
        <w:tc>
          <w:tcPr>
            <w:tcW w:type="dxa" w:w="4320"/>
          </w:tcPr>
          <w:p>
            <w:r>
              <w:rPr>
                <w:rFonts w:ascii="Calibri" w:hAnsi="Calibri"/>
                <w:color w:val="333333"/>
                <w:sz w:val="18"/>
              </w:rPr>
              <w:t>Major update incorporating container security and GCP workloads.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ENG-006</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