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Database Security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ENG-007</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Head of IT &amp; Security</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August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February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ENG-007</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Database Security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1.3</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Head of IT &amp; Security</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CISO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August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February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Engineering, IT, Data &amp; AI staff</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February 2026)</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ENG-001, ENG-002, ENG-006, ENG-008, SEC-001, SEC-002, SEC-005, DATA-001, DATA-008</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 and Purpose</w:t>
      </w:r>
    </w:p>
    <w:p>
      <w:pPr/>
      <w:r>
        <w:t>This policy defines the security requirements for all database platforms used within Vistara Global Systems, ensuring confidentiality, integrity, and availability of data.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This policy defines the security requirements for all database platforms used within Vistara Global Systems, ensuring confidentiality, integrity, and availability of data.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This policy defines the security requirements for all database platforms used within Vistara Global Systems, ensuring confidentiality, integrity, and availability of data.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This policy defines the security requirements for all database platforms used within Vistara Global Systems, ensuring confidentiality, integrity, and availability of data.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1"/>
      </w:pPr>
      <w:r>
        <w:t>2. Scope and Applicability</w:t>
      </w:r>
    </w:p>
    <w:p>
      <w:pPr/>
      <w:r>
        <w:t>Applies to PostgreSQL (primary), MongoDB (document store), Redis (caching), and Elasticsearch (search). Managed services are strongly preferred.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Applies to PostgreSQL (primary), MongoDB (document store), Redis (caching), and Elasticsearch (search). Managed services are strongly preferred.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Applies to PostgreSQL (primary), MongoDB (document store), Redis (caching), and Elasticsearch (search). Managed services are strongly preferred.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Applies to PostgreSQL (primary), MongoDB (document store), Redis (caching), and Elasticsearch (search). Managed services are strongly preferred.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ListBullet"/>
      </w:pPr>
      <w:r>
        <w:t>All full-time employees of Vistara Global Systems Pvt. Ltd.</w:t>
      </w:r>
    </w:p>
    <w:p>
      <w:pPr>
        <w:pStyle w:val="ListBullet"/>
      </w:pPr>
      <w:r>
        <w:t>Contractors and third-party vendors accessing Vistara systems.</w:t>
      </w:r>
    </w:p>
    <w:p>
      <w:pPr>
        <w:pStyle w:val="ListBullet"/>
      </w:pPr>
      <w:r>
        <w:t>All office locations including Bengaluru, Hyderabad, Pune, Mumbai, Gurugram, Chennai, Kolkata, New Delhi, Singapore, Dubai, London, Austin.</w:t>
      </w:r>
    </w:p>
    <w:p>
      <w:pPr>
        <w:pStyle w:val="ListBullet"/>
      </w:pPr>
      <w:r>
        <w:t>All cloud environments, data centers, and endpoint devices.</w:t>
      </w:r>
    </w:p>
    <w:p>
      <w:pPr>
        <w:pStyle w:val="Heading1"/>
      </w:pPr>
      <w:r>
        <w:t>3. Database Access Control</w:t>
      </w:r>
    </w:p>
    <w:p>
      <w:pPr/>
      <w:r>
        <w:t>Application credentials must be strictly separated from user credentials. Shared accounts are prohibited. Role-based access (read-only, read-write, admin) is mandatory per SEC-002.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Application credentials must be strictly separated from user credentials. Shared accounts are prohibited. Role-based access (read-only, read-write, admin) is mandatory per SEC-002.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Application credentials must be strictly separated from user credentials. Shared accounts are prohibited. Role-based access (read-only, read-write, admin) is mandatory per SEC-002.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Application credentials must be strictly separated from user credentials. Shared accounts are prohibited. Role-based access (read-only, read-write, admin) is mandatory per SEC-002.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 Application credentials must be strictly separated from user credentials. Shared accounts are prohibited. Role-based access (read-only, read-write, admin) is mandatory per SEC-002. (Reference Section 5.0. Compliance with Vistara Global Systems enterprise architecture guidelines is mandatory for this control. Exceptions must be documented and approved by the CISO or designated risk owner. Implementation must follow the technical baselines defined in the internal wiki.) Application credentials must be strictly separated from user credentials. Shared accounts are prohibited. Role-based access (read-only, read-write, admin) is mandatory per SEC-002. (Reference Section 6.0. Compliance with Vistara Global Systems enterprise architecture guidelines is mandatory for this control. Exceptions must be documented and approved by the CISO or designated risk owner. Implementation must follow the technical baselines defined in the internal wiki.) Application credentials must be strictly separated from user credentials. Shared accounts are prohibited. Role-based access (read-only, read-write, admin) is mandatory per SEC-002. (Reference Section 7.0. Compliance with Vistara Global Systems enterprise architecture guidelines is mandatory for this control. Exceptions must be documented and approved by the CISO or designated risk owner. Implementation must follow the technical baselines defined in the internal wiki.) Application credentials must be strictly separated from user credentials. Shared accounts are prohibited. Role-based access (read-only, read-write, admin) is mandatory per SEC-002. (Reference Section 8.0. Compliance with Vistara Global Systems enterprise architecture guidelines is mandatory for this control. Exceptions must be documented and approved by the CISO or designated risk owner. Implementation must follow the technical baselines defined in the internal wiki.) Application credentials must be strictly separated from user credentials. Shared accounts are prohibited. Role-based access (read-only, read-write, admin) is mandatory per SEC-002. (Reference Section 9.0. Compliance with Vistara Global Systems enterprise architecture guidelines is mandatory for this control. Exceptions must be documented and approved by the CISO or designated risk owner. Implementation must follow the technical baselines defined in the internal wiki.) Application credentials must be strictly separated from user credentials. Shared accounts are prohibited. Role-based access (read-only, read-write, admin) is mandatory per SEC-002. (Reference Section 10.0. Compliance with Vistara Global Systems enterprise architecture guidelines is mandatory for this control. Exceptions must be documented and approved by the CISO or designated risk owner. Implementation must follow the technical baselines defined in the internal wiki.) Application credentials must be strictly separated from user credentials. Shared accounts are prohibited. Role-based access (read-only, read-write, admin) is mandatory per SEC-002. (Reference Section 11.0. Compliance with Vistara Global Systems enterprise architecture guidelines is mandatory for this control. Exceptions must be documented and approved by the CISO or designated risk owner. Implementation must follow the technical baselines defined in the internal wiki.) Application credentials must be strictly separated from user credentials. Shared accounts are prohibited. Role-based access (read-only, read-write, admin) is mandatory per SEC-002. (Reference Section 12.0. Compliance with Vistara Global Systems enterprise architecture guidelines is mandatory for this control. Exceptions must be documented and approved by the CISO or designated risk owner. Implementation must follow the technical baselines defined in the internal wiki.) Application credentials must be strictly separated from user credentials. Shared accounts are prohibited. Role-based access (read-only, read-write, admin) is mandatory per SEC-002. (Reference Section 13.0. Compliance with Vistara Global Systems enterprise architecture guidelines is mandatory for this control. Exceptions must be documented and approved by the CISO or designated risk owner. Implementation must follow the technical baselines defined in the internal wiki.) Application credentials must be strictly separated from user credentials. Shared accounts are prohibited. Role-based access (read-only, read-write, admin) is mandatory per SEC-002. (Reference Section 14.0. Compliance with Vistara Global Systems enterprise architecture guidelines is mandatory for this control. Exceptions must be documented and approved by the CISO or designated risk owner. Implementation must follow the technical baselines defined in the internal wiki.) Application credentials must be strictly separated from user credentials. Shared accounts are prohibited. Role-based access (read-only, read-write, admin) is mandatory per SEC-002. (Reference Section 15.0.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1"/>
      </w:pPr>
      <w:r>
        <w:t>4. Privileged Database Access</w:t>
      </w:r>
    </w:p>
    <w:p>
      <w:pPr/>
      <w:r>
        <w:t>DBA access requires Engineering Director and Security approval. Session recording is mandatory. Direct production queries require a valid ticketing system approval per ENG-002.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5.0.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6.0.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7.0.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8.0.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9.0.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10.0.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11.0.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12.0.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13.0.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14.0.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15.0.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16.0.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17.0.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18.0.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19.0. Compliance with Vistara Global Systems enterprise architecture guidelines is mandatory for this control. Exceptions must be documented and approved by the CISO or designated risk owner. Implementation must follow the technical baselines defined in the internal wiki.) DBA access requires Engineering Director and Security approval. Session recording is mandatory. Direct production queries require a valid ticketing system approval per ENG-002. (Reference Section 20.0.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2"/>
      </w:pPr>
      <w:r>
        <w:t>5.. 5. Database Hardening Matrix</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Database Platform</w:t>
            </w:r>
          </w:p>
        </w:tc>
        <w:tc>
          <w:tcPr>
            <w:tcW w:type="dxa" w:w="2340"/>
            <w:shd w:fill="1B3A5C" w:val="clear"/>
          </w:tcPr>
          <w:p>
            <w:pPr>
              <w:jc w:val="center"/>
            </w:pPr>
            <w:r>
              <w:rPr>
                <w:rFonts w:ascii="Calibri" w:hAnsi="Calibri"/>
                <w:b/>
                <w:color w:val="FFFFFF"/>
                <w:sz w:val="20"/>
              </w:rPr>
              <w:t>Configuration Requirement</w:t>
            </w:r>
          </w:p>
        </w:tc>
        <w:tc>
          <w:tcPr>
            <w:tcW w:type="dxa" w:w="2340"/>
            <w:shd w:fill="1B3A5C" w:val="clear"/>
          </w:tcPr>
          <w:p>
            <w:pPr>
              <w:jc w:val="center"/>
            </w:pPr>
            <w:r>
              <w:rPr>
                <w:rFonts w:ascii="Calibri" w:hAnsi="Calibri"/>
                <w:b/>
                <w:color w:val="FFFFFF"/>
                <w:sz w:val="20"/>
              </w:rPr>
              <w:t>Justification</w:t>
            </w:r>
          </w:p>
        </w:tc>
        <w:tc>
          <w:tcPr>
            <w:tcW w:type="dxa" w:w="2340"/>
            <w:shd w:fill="1B3A5C" w:val="clear"/>
          </w:tcPr>
          <w:p>
            <w:pPr>
              <w:jc w:val="center"/>
            </w:pPr>
            <w:r>
              <w:rPr>
                <w:rFonts w:ascii="Calibri" w:hAnsi="Calibri"/>
                <w:b/>
                <w:color w:val="FFFFFF"/>
                <w:sz w:val="20"/>
              </w:rPr>
              <w:t>Implementation Status</w:t>
            </w:r>
          </w:p>
        </w:tc>
      </w:tr>
      <w:tr>
        <w:tc>
          <w:tcPr>
            <w:tcW w:type="dxa" w:w="2340"/>
          </w:tcPr>
          <w:p>
            <w:r>
              <w:rPr>
                <w:rFonts w:ascii="Calibri" w:hAnsi="Calibri"/>
                <w:color w:val="333333"/>
                <w:sz w:val="18"/>
              </w:rPr>
              <w:t>PostgreSQL</w:t>
            </w:r>
          </w:p>
        </w:tc>
        <w:tc>
          <w:tcPr>
            <w:tcW w:type="dxa" w:w="2340"/>
          </w:tcPr>
          <w:p>
            <w:r>
              <w:rPr>
                <w:rFonts w:ascii="Calibri" w:hAnsi="Calibri"/>
                <w:color w:val="333333"/>
                <w:sz w:val="18"/>
              </w:rPr>
              <w:t>CIS Benchmark Control 0</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MongoDB</w:t>
            </w:r>
          </w:p>
        </w:tc>
        <w:tc>
          <w:tcPr>
            <w:tcW w:type="dxa" w:w="2340"/>
            <w:shd w:fill="F2F6FA" w:val="clear"/>
          </w:tcPr>
          <w:p>
            <w:r>
              <w:rPr>
                <w:rFonts w:ascii="Calibri" w:hAnsi="Calibri"/>
                <w:color w:val="333333"/>
                <w:sz w:val="18"/>
              </w:rPr>
              <w:t>CIS Benchmark Control 1</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Redis</w:t>
            </w:r>
          </w:p>
        </w:tc>
        <w:tc>
          <w:tcPr>
            <w:tcW w:type="dxa" w:w="2340"/>
          </w:tcPr>
          <w:p>
            <w:r>
              <w:rPr>
                <w:rFonts w:ascii="Calibri" w:hAnsi="Calibri"/>
                <w:color w:val="333333"/>
                <w:sz w:val="18"/>
              </w:rPr>
              <w:t>CIS Benchmark Control 2</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Elasticsearch</w:t>
            </w:r>
          </w:p>
        </w:tc>
        <w:tc>
          <w:tcPr>
            <w:tcW w:type="dxa" w:w="2340"/>
            <w:shd w:fill="F2F6FA" w:val="clear"/>
          </w:tcPr>
          <w:p>
            <w:r>
              <w:rPr>
                <w:rFonts w:ascii="Calibri" w:hAnsi="Calibri"/>
                <w:color w:val="333333"/>
                <w:sz w:val="18"/>
              </w:rPr>
              <w:t>CIS Benchmark Control 3</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PostgreSQL</w:t>
            </w:r>
          </w:p>
        </w:tc>
        <w:tc>
          <w:tcPr>
            <w:tcW w:type="dxa" w:w="2340"/>
          </w:tcPr>
          <w:p>
            <w:r>
              <w:rPr>
                <w:rFonts w:ascii="Calibri" w:hAnsi="Calibri"/>
                <w:color w:val="333333"/>
                <w:sz w:val="18"/>
              </w:rPr>
              <w:t>CIS Benchmark Control 4</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MongoDB</w:t>
            </w:r>
          </w:p>
        </w:tc>
        <w:tc>
          <w:tcPr>
            <w:tcW w:type="dxa" w:w="2340"/>
            <w:shd w:fill="F2F6FA" w:val="clear"/>
          </w:tcPr>
          <w:p>
            <w:r>
              <w:rPr>
                <w:rFonts w:ascii="Calibri" w:hAnsi="Calibri"/>
                <w:color w:val="333333"/>
                <w:sz w:val="18"/>
              </w:rPr>
              <w:t>CIS Benchmark Control 5</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Redis</w:t>
            </w:r>
          </w:p>
        </w:tc>
        <w:tc>
          <w:tcPr>
            <w:tcW w:type="dxa" w:w="2340"/>
          </w:tcPr>
          <w:p>
            <w:r>
              <w:rPr>
                <w:rFonts w:ascii="Calibri" w:hAnsi="Calibri"/>
                <w:color w:val="333333"/>
                <w:sz w:val="18"/>
              </w:rPr>
              <w:t>CIS Benchmark Control 6</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Elasticsearch</w:t>
            </w:r>
          </w:p>
        </w:tc>
        <w:tc>
          <w:tcPr>
            <w:tcW w:type="dxa" w:w="2340"/>
            <w:shd w:fill="F2F6FA" w:val="clear"/>
          </w:tcPr>
          <w:p>
            <w:r>
              <w:rPr>
                <w:rFonts w:ascii="Calibri" w:hAnsi="Calibri"/>
                <w:color w:val="333333"/>
                <w:sz w:val="18"/>
              </w:rPr>
              <w:t>CIS Benchmark Control 7</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PostgreSQL</w:t>
            </w:r>
          </w:p>
        </w:tc>
        <w:tc>
          <w:tcPr>
            <w:tcW w:type="dxa" w:w="2340"/>
          </w:tcPr>
          <w:p>
            <w:r>
              <w:rPr>
                <w:rFonts w:ascii="Calibri" w:hAnsi="Calibri"/>
                <w:color w:val="333333"/>
                <w:sz w:val="18"/>
              </w:rPr>
              <w:t>CIS Benchmark Control 8</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MongoDB</w:t>
            </w:r>
          </w:p>
        </w:tc>
        <w:tc>
          <w:tcPr>
            <w:tcW w:type="dxa" w:w="2340"/>
            <w:shd w:fill="F2F6FA" w:val="clear"/>
          </w:tcPr>
          <w:p>
            <w:r>
              <w:rPr>
                <w:rFonts w:ascii="Calibri" w:hAnsi="Calibri"/>
                <w:color w:val="333333"/>
                <w:sz w:val="18"/>
              </w:rPr>
              <w:t>CIS Benchmark Control 9</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Redis</w:t>
            </w:r>
          </w:p>
        </w:tc>
        <w:tc>
          <w:tcPr>
            <w:tcW w:type="dxa" w:w="2340"/>
          </w:tcPr>
          <w:p>
            <w:r>
              <w:rPr>
                <w:rFonts w:ascii="Calibri" w:hAnsi="Calibri"/>
                <w:color w:val="333333"/>
                <w:sz w:val="18"/>
              </w:rPr>
              <w:t>CIS Benchmark Control 10</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Elasticsearch</w:t>
            </w:r>
          </w:p>
        </w:tc>
        <w:tc>
          <w:tcPr>
            <w:tcW w:type="dxa" w:w="2340"/>
            <w:shd w:fill="F2F6FA" w:val="clear"/>
          </w:tcPr>
          <w:p>
            <w:r>
              <w:rPr>
                <w:rFonts w:ascii="Calibri" w:hAnsi="Calibri"/>
                <w:color w:val="333333"/>
                <w:sz w:val="18"/>
              </w:rPr>
              <w:t>CIS Benchmark Control 11</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PostgreSQL</w:t>
            </w:r>
          </w:p>
        </w:tc>
        <w:tc>
          <w:tcPr>
            <w:tcW w:type="dxa" w:w="2340"/>
          </w:tcPr>
          <w:p>
            <w:r>
              <w:rPr>
                <w:rFonts w:ascii="Calibri" w:hAnsi="Calibri"/>
                <w:color w:val="333333"/>
                <w:sz w:val="18"/>
              </w:rPr>
              <w:t>CIS Benchmark Control 12</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MongoDB</w:t>
            </w:r>
          </w:p>
        </w:tc>
        <w:tc>
          <w:tcPr>
            <w:tcW w:type="dxa" w:w="2340"/>
            <w:shd w:fill="F2F6FA" w:val="clear"/>
          </w:tcPr>
          <w:p>
            <w:r>
              <w:rPr>
                <w:rFonts w:ascii="Calibri" w:hAnsi="Calibri"/>
                <w:color w:val="333333"/>
                <w:sz w:val="18"/>
              </w:rPr>
              <w:t>CIS Benchmark Control 13</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Redis</w:t>
            </w:r>
          </w:p>
        </w:tc>
        <w:tc>
          <w:tcPr>
            <w:tcW w:type="dxa" w:w="2340"/>
          </w:tcPr>
          <w:p>
            <w:r>
              <w:rPr>
                <w:rFonts w:ascii="Calibri" w:hAnsi="Calibri"/>
                <w:color w:val="333333"/>
                <w:sz w:val="18"/>
              </w:rPr>
              <w:t>CIS Benchmark Control 14</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Elasticsearch</w:t>
            </w:r>
          </w:p>
        </w:tc>
        <w:tc>
          <w:tcPr>
            <w:tcW w:type="dxa" w:w="2340"/>
            <w:shd w:fill="F2F6FA" w:val="clear"/>
          </w:tcPr>
          <w:p>
            <w:r>
              <w:rPr>
                <w:rFonts w:ascii="Calibri" w:hAnsi="Calibri"/>
                <w:color w:val="333333"/>
                <w:sz w:val="18"/>
              </w:rPr>
              <w:t>CIS Benchmark Control 15</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PostgreSQL</w:t>
            </w:r>
          </w:p>
        </w:tc>
        <w:tc>
          <w:tcPr>
            <w:tcW w:type="dxa" w:w="2340"/>
          </w:tcPr>
          <w:p>
            <w:r>
              <w:rPr>
                <w:rFonts w:ascii="Calibri" w:hAnsi="Calibri"/>
                <w:color w:val="333333"/>
                <w:sz w:val="18"/>
              </w:rPr>
              <w:t>CIS Benchmark Control 16</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MongoDB</w:t>
            </w:r>
          </w:p>
        </w:tc>
        <w:tc>
          <w:tcPr>
            <w:tcW w:type="dxa" w:w="2340"/>
            <w:shd w:fill="F2F6FA" w:val="clear"/>
          </w:tcPr>
          <w:p>
            <w:r>
              <w:rPr>
                <w:rFonts w:ascii="Calibri" w:hAnsi="Calibri"/>
                <w:color w:val="333333"/>
                <w:sz w:val="18"/>
              </w:rPr>
              <w:t>CIS Benchmark Control 17</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Redis</w:t>
            </w:r>
          </w:p>
        </w:tc>
        <w:tc>
          <w:tcPr>
            <w:tcW w:type="dxa" w:w="2340"/>
          </w:tcPr>
          <w:p>
            <w:r>
              <w:rPr>
                <w:rFonts w:ascii="Calibri" w:hAnsi="Calibri"/>
                <w:color w:val="333333"/>
                <w:sz w:val="18"/>
              </w:rPr>
              <w:t>CIS Benchmark Control 18</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Elasticsearch</w:t>
            </w:r>
          </w:p>
        </w:tc>
        <w:tc>
          <w:tcPr>
            <w:tcW w:type="dxa" w:w="2340"/>
            <w:shd w:fill="F2F6FA" w:val="clear"/>
          </w:tcPr>
          <w:p>
            <w:r>
              <w:rPr>
                <w:rFonts w:ascii="Calibri" w:hAnsi="Calibri"/>
                <w:color w:val="333333"/>
                <w:sz w:val="18"/>
              </w:rPr>
              <w:t>CIS Benchmark Control 19</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PostgreSQL</w:t>
            </w:r>
          </w:p>
        </w:tc>
        <w:tc>
          <w:tcPr>
            <w:tcW w:type="dxa" w:w="2340"/>
          </w:tcPr>
          <w:p>
            <w:r>
              <w:rPr>
                <w:rFonts w:ascii="Calibri" w:hAnsi="Calibri"/>
                <w:color w:val="333333"/>
                <w:sz w:val="18"/>
              </w:rPr>
              <w:t>CIS Benchmark Control 20</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MongoDB</w:t>
            </w:r>
          </w:p>
        </w:tc>
        <w:tc>
          <w:tcPr>
            <w:tcW w:type="dxa" w:w="2340"/>
            <w:shd w:fill="F2F6FA" w:val="clear"/>
          </w:tcPr>
          <w:p>
            <w:r>
              <w:rPr>
                <w:rFonts w:ascii="Calibri" w:hAnsi="Calibri"/>
                <w:color w:val="333333"/>
                <w:sz w:val="18"/>
              </w:rPr>
              <w:t>CIS Benchmark Control 21</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Redis</w:t>
            </w:r>
          </w:p>
        </w:tc>
        <w:tc>
          <w:tcPr>
            <w:tcW w:type="dxa" w:w="2340"/>
          </w:tcPr>
          <w:p>
            <w:r>
              <w:rPr>
                <w:rFonts w:ascii="Calibri" w:hAnsi="Calibri"/>
                <w:color w:val="333333"/>
                <w:sz w:val="18"/>
              </w:rPr>
              <w:t>CIS Benchmark Control 22</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Elasticsearch</w:t>
            </w:r>
          </w:p>
        </w:tc>
        <w:tc>
          <w:tcPr>
            <w:tcW w:type="dxa" w:w="2340"/>
            <w:shd w:fill="F2F6FA" w:val="clear"/>
          </w:tcPr>
          <w:p>
            <w:r>
              <w:rPr>
                <w:rFonts w:ascii="Calibri" w:hAnsi="Calibri"/>
                <w:color w:val="333333"/>
                <w:sz w:val="18"/>
              </w:rPr>
              <w:t>CIS Benchmark Control 23</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PostgreSQL</w:t>
            </w:r>
          </w:p>
        </w:tc>
        <w:tc>
          <w:tcPr>
            <w:tcW w:type="dxa" w:w="2340"/>
          </w:tcPr>
          <w:p>
            <w:r>
              <w:rPr>
                <w:rFonts w:ascii="Calibri" w:hAnsi="Calibri"/>
                <w:color w:val="333333"/>
                <w:sz w:val="18"/>
              </w:rPr>
              <w:t>CIS Benchmark Control 24</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MongoDB</w:t>
            </w:r>
          </w:p>
        </w:tc>
        <w:tc>
          <w:tcPr>
            <w:tcW w:type="dxa" w:w="2340"/>
            <w:shd w:fill="F2F6FA" w:val="clear"/>
          </w:tcPr>
          <w:p>
            <w:r>
              <w:rPr>
                <w:rFonts w:ascii="Calibri" w:hAnsi="Calibri"/>
                <w:color w:val="333333"/>
                <w:sz w:val="18"/>
              </w:rPr>
              <w:t>CIS Benchmark Control 25</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Redis</w:t>
            </w:r>
          </w:p>
        </w:tc>
        <w:tc>
          <w:tcPr>
            <w:tcW w:type="dxa" w:w="2340"/>
          </w:tcPr>
          <w:p>
            <w:r>
              <w:rPr>
                <w:rFonts w:ascii="Calibri" w:hAnsi="Calibri"/>
                <w:color w:val="333333"/>
                <w:sz w:val="18"/>
              </w:rPr>
              <w:t>CIS Benchmark Control 26</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Elasticsearch</w:t>
            </w:r>
          </w:p>
        </w:tc>
        <w:tc>
          <w:tcPr>
            <w:tcW w:type="dxa" w:w="2340"/>
            <w:shd w:fill="F2F6FA" w:val="clear"/>
          </w:tcPr>
          <w:p>
            <w:r>
              <w:rPr>
                <w:rFonts w:ascii="Calibri" w:hAnsi="Calibri"/>
                <w:color w:val="333333"/>
                <w:sz w:val="18"/>
              </w:rPr>
              <w:t>CIS Benchmark Control 27</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PostgreSQL</w:t>
            </w:r>
          </w:p>
        </w:tc>
        <w:tc>
          <w:tcPr>
            <w:tcW w:type="dxa" w:w="2340"/>
          </w:tcPr>
          <w:p>
            <w:r>
              <w:rPr>
                <w:rFonts w:ascii="Calibri" w:hAnsi="Calibri"/>
                <w:color w:val="333333"/>
                <w:sz w:val="18"/>
              </w:rPr>
              <w:t>CIS Benchmark Control 28</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MongoDB</w:t>
            </w:r>
          </w:p>
        </w:tc>
        <w:tc>
          <w:tcPr>
            <w:tcW w:type="dxa" w:w="2340"/>
            <w:shd w:fill="F2F6FA" w:val="clear"/>
          </w:tcPr>
          <w:p>
            <w:r>
              <w:rPr>
                <w:rFonts w:ascii="Calibri" w:hAnsi="Calibri"/>
                <w:color w:val="333333"/>
                <w:sz w:val="18"/>
              </w:rPr>
              <w:t>CIS Benchmark Control 29</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Redis</w:t>
            </w:r>
          </w:p>
        </w:tc>
        <w:tc>
          <w:tcPr>
            <w:tcW w:type="dxa" w:w="2340"/>
          </w:tcPr>
          <w:p>
            <w:r>
              <w:rPr>
                <w:rFonts w:ascii="Calibri" w:hAnsi="Calibri"/>
                <w:color w:val="333333"/>
                <w:sz w:val="18"/>
              </w:rPr>
              <w:t>CIS Benchmark Control 30</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Elasticsearch</w:t>
            </w:r>
          </w:p>
        </w:tc>
        <w:tc>
          <w:tcPr>
            <w:tcW w:type="dxa" w:w="2340"/>
            <w:shd w:fill="F2F6FA" w:val="clear"/>
          </w:tcPr>
          <w:p>
            <w:r>
              <w:rPr>
                <w:rFonts w:ascii="Calibri" w:hAnsi="Calibri"/>
                <w:color w:val="333333"/>
                <w:sz w:val="18"/>
              </w:rPr>
              <w:t>CIS Benchmark Control 31</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PostgreSQL</w:t>
            </w:r>
          </w:p>
        </w:tc>
        <w:tc>
          <w:tcPr>
            <w:tcW w:type="dxa" w:w="2340"/>
          </w:tcPr>
          <w:p>
            <w:r>
              <w:rPr>
                <w:rFonts w:ascii="Calibri" w:hAnsi="Calibri"/>
                <w:color w:val="333333"/>
                <w:sz w:val="18"/>
              </w:rPr>
              <w:t>CIS Benchmark Control 32</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MongoDB</w:t>
            </w:r>
          </w:p>
        </w:tc>
        <w:tc>
          <w:tcPr>
            <w:tcW w:type="dxa" w:w="2340"/>
            <w:shd w:fill="F2F6FA" w:val="clear"/>
          </w:tcPr>
          <w:p>
            <w:r>
              <w:rPr>
                <w:rFonts w:ascii="Calibri" w:hAnsi="Calibri"/>
                <w:color w:val="333333"/>
                <w:sz w:val="18"/>
              </w:rPr>
              <w:t>CIS Benchmark Control 33</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Redis</w:t>
            </w:r>
          </w:p>
        </w:tc>
        <w:tc>
          <w:tcPr>
            <w:tcW w:type="dxa" w:w="2340"/>
          </w:tcPr>
          <w:p>
            <w:r>
              <w:rPr>
                <w:rFonts w:ascii="Calibri" w:hAnsi="Calibri"/>
                <w:color w:val="333333"/>
                <w:sz w:val="18"/>
              </w:rPr>
              <w:t>CIS Benchmark Control 34</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Elasticsearch</w:t>
            </w:r>
          </w:p>
        </w:tc>
        <w:tc>
          <w:tcPr>
            <w:tcW w:type="dxa" w:w="2340"/>
            <w:shd w:fill="F2F6FA" w:val="clear"/>
          </w:tcPr>
          <w:p>
            <w:r>
              <w:rPr>
                <w:rFonts w:ascii="Calibri" w:hAnsi="Calibri"/>
                <w:color w:val="333333"/>
                <w:sz w:val="18"/>
              </w:rPr>
              <w:t>CIS Benchmark Control 35</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PostgreSQL</w:t>
            </w:r>
          </w:p>
        </w:tc>
        <w:tc>
          <w:tcPr>
            <w:tcW w:type="dxa" w:w="2340"/>
          </w:tcPr>
          <w:p>
            <w:r>
              <w:rPr>
                <w:rFonts w:ascii="Calibri" w:hAnsi="Calibri"/>
                <w:color w:val="333333"/>
                <w:sz w:val="18"/>
              </w:rPr>
              <w:t>CIS Benchmark Control 36</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MongoDB</w:t>
            </w:r>
          </w:p>
        </w:tc>
        <w:tc>
          <w:tcPr>
            <w:tcW w:type="dxa" w:w="2340"/>
            <w:shd w:fill="F2F6FA" w:val="clear"/>
          </w:tcPr>
          <w:p>
            <w:r>
              <w:rPr>
                <w:rFonts w:ascii="Calibri" w:hAnsi="Calibri"/>
                <w:color w:val="333333"/>
                <w:sz w:val="18"/>
              </w:rPr>
              <w:t>CIS Benchmark Control 37</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r>
        <w:tc>
          <w:tcPr>
            <w:tcW w:type="dxa" w:w="2340"/>
          </w:tcPr>
          <w:p>
            <w:r>
              <w:rPr>
                <w:rFonts w:ascii="Calibri" w:hAnsi="Calibri"/>
                <w:color w:val="333333"/>
                <w:sz w:val="18"/>
              </w:rPr>
              <w:t>Redis</w:t>
            </w:r>
          </w:p>
        </w:tc>
        <w:tc>
          <w:tcPr>
            <w:tcW w:type="dxa" w:w="2340"/>
          </w:tcPr>
          <w:p>
            <w:r>
              <w:rPr>
                <w:rFonts w:ascii="Calibri" w:hAnsi="Calibri"/>
                <w:color w:val="333333"/>
                <w:sz w:val="18"/>
              </w:rPr>
              <w:t>CIS Benchmark Control 38</w:t>
            </w:r>
          </w:p>
        </w:tc>
        <w:tc>
          <w:tcPr>
            <w:tcW w:type="dxa" w:w="2340"/>
          </w:tcPr>
          <w:p>
            <w:r>
              <w:rPr>
                <w:rFonts w:ascii="Calibri" w:hAnsi="Calibri"/>
                <w:color w:val="333333"/>
                <w:sz w:val="18"/>
              </w:rPr>
              <w:t>Security Hardening</w:t>
            </w:r>
          </w:p>
        </w:tc>
        <w:tc>
          <w:tcPr>
            <w:tcW w:type="dxa" w:w="2340"/>
          </w:tcPr>
          <w:p>
            <w:r>
              <w:rPr>
                <w:rFonts w:ascii="Calibri" w:hAnsi="Calibri"/>
                <w:color w:val="333333"/>
                <w:sz w:val="18"/>
              </w:rPr>
              <w:t>Mandatory</w:t>
            </w:r>
          </w:p>
        </w:tc>
      </w:tr>
      <w:tr>
        <w:tc>
          <w:tcPr>
            <w:tcW w:type="dxa" w:w="2340"/>
            <w:shd w:fill="F2F6FA" w:val="clear"/>
          </w:tcPr>
          <w:p>
            <w:r>
              <w:rPr>
                <w:rFonts w:ascii="Calibri" w:hAnsi="Calibri"/>
                <w:color w:val="333333"/>
                <w:sz w:val="18"/>
              </w:rPr>
              <w:t>Elasticsearch</w:t>
            </w:r>
          </w:p>
        </w:tc>
        <w:tc>
          <w:tcPr>
            <w:tcW w:type="dxa" w:w="2340"/>
            <w:shd w:fill="F2F6FA" w:val="clear"/>
          </w:tcPr>
          <w:p>
            <w:r>
              <w:rPr>
                <w:rFonts w:ascii="Calibri" w:hAnsi="Calibri"/>
                <w:color w:val="333333"/>
                <w:sz w:val="18"/>
              </w:rPr>
              <w:t>CIS Benchmark Control 39</w:t>
            </w:r>
          </w:p>
        </w:tc>
        <w:tc>
          <w:tcPr>
            <w:tcW w:type="dxa" w:w="2340"/>
            <w:shd w:fill="F2F6FA" w:val="clear"/>
          </w:tcPr>
          <w:p>
            <w:r>
              <w:rPr>
                <w:rFonts w:ascii="Calibri" w:hAnsi="Calibri"/>
                <w:color w:val="333333"/>
                <w:sz w:val="18"/>
              </w:rPr>
              <w:t>Security Hardening</w:t>
            </w:r>
          </w:p>
        </w:tc>
        <w:tc>
          <w:tcPr>
            <w:tcW w:type="dxa" w:w="2340"/>
            <w:shd w:fill="F2F6FA" w:val="clear"/>
          </w:tcPr>
          <w:p>
            <w:r>
              <w:rPr>
                <w:rFonts w:ascii="Calibri" w:hAnsi="Calibri"/>
                <w:color w:val="333333"/>
                <w:sz w:val="18"/>
              </w:rPr>
              <w:t>Mandatory</w:t>
            </w:r>
          </w:p>
        </w:tc>
      </w:tr>
    </w:tbl>
    <w:p/>
    <w:p>
      <w:pPr>
        <w:pStyle w:val="Heading1"/>
      </w:pPr>
      <w:r>
        <w:t>6. Encryption and Monitoring</w:t>
      </w:r>
    </w:p>
    <w:p>
      <w:pPr/>
      <w:r>
        <w:t>AES-256 encryption at rest (TDE where available) and TLS 1.2+ in transit. PII and financial data require column-level encryption. DAM (Database Activity Monitoring) is required for all production instances.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5.0.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6.0.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7.0.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8.0.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9.0.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10.0.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11.0.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12.0.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13.0.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14.0.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15.0.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16.0.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17.0.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18.0.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19.0.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20.0.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21.0.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22.0.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23.0.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24.0. Compliance with Vistara Global Systems enterprise architecture guidelines is mandatory for this control. Exceptions must be documented and approved by the CISO or designated risk owner. Implementation must follow the technical baselines defined in the internal wiki.) AES-256 encryption at rest (TDE where available) and TLS 1.2+ in transit. PII and financial data require column-level encryption. DAM (Database Activity Monitoring) is required for all production instances. (Reference Section 25.0.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1"/>
      </w:pPr>
      <w:r>
        <w:t>7. Frequently Asked Questions (FAQ)</w:t>
      </w:r>
    </w:p>
    <w:p>
      <w:r>
        <w:rPr>
          <w:rFonts w:ascii="Calibri" w:hAnsi="Calibri"/>
          <w:b/>
          <w:color w:val="1B3A5C"/>
          <w:sz w:val="22"/>
        </w:rPr>
        <w:t>Q: FAQ 1: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2: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3: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4: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5: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6: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7: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8: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9: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10: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11: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12: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13: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14: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15: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16: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17: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18: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19: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r>
        <w:rPr>
          <w:rFonts w:ascii="Calibri" w:hAnsi="Calibri"/>
          <w:b/>
          <w:color w:val="1B3A5C"/>
          <w:sz w:val="22"/>
        </w:rPr>
        <w:t>Q: FAQ 20: Can developers access production databases?</w:t>
      </w:r>
    </w:p>
    <w:p>
      <w:pPr>
        <w:spacing w:after="240"/>
      </w:pPr>
      <w:r>
        <w:rPr>
          <w:rFonts w:ascii="Calibri" w:hAnsi="Calibri"/>
          <w:color w:val="333333"/>
          <w:sz w:val="22"/>
        </w:rPr>
        <w:t>A: No, developers cannot directly access production databases. Access must go through approved, audited emergency break-glass procedures with ticketing.</w:t>
      </w:r>
    </w:p>
    <w:p>
      <w:pPr>
        <w:pStyle w:val="Heading1"/>
      </w:pPr>
      <w:r>
        <w:t>8. Revision History</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1.2</w:t>
            </w:r>
          </w:p>
        </w:tc>
        <w:tc>
          <w:tcPr>
            <w:tcW w:type="dxa" w:w="1872"/>
          </w:tcPr>
          <w:p>
            <w:r>
              <w:rPr>
                <w:rFonts w:ascii="Calibri" w:hAnsi="Calibri"/>
                <w:color w:val="333333"/>
                <w:sz w:val="18"/>
              </w:rPr>
              <w:t>01 Feb 2026</w:t>
            </w:r>
          </w:p>
        </w:tc>
        <w:tc>
          <w:tcPr>
            <w:tcW w:type="dxa" w:w="2160"/>
          </w:tcPr>
          <w:p>
            <w:r>
              <w:rPr>
                <w:rFonts w:ascii="Calibri" w:hAnsi="Calibri"/>
                <w:color w:val="333333"/>
                <w:sz w:val="18"/>
              </w:rPr>
              <w:t>Database Team</w:t>
            </w:r>
          </w:p>
        </w:tc>
        <w:tc>
          <w:tcPr>
            <w:tcW w:type="dxa" w:w="4320"/>
          </w:tcPr>
          <w:p>
            <w:r>
              <w:rPr>
                <w:rFonts w:ascii="Calibri" w:hAnsi="Calibri"/>
                <w:color w:val="333333"/>
                <w:sz w:val="18"/>
              </w:rPr>
              <w:t>Updated for Redis and MongoDB additions.</w:t>
            </w:r>
          </w:p>
        </w:tc>
      </w:tr>
      <w:tr>
        <w:tc>
          <w:tcPr>
            <w:tcW w:type="dxa" w:w="1152"/>
            <w:shd w:fill="F2F6FA" w:val="clear"/>
          </w:tcPr>
          <w:p>
            <w:r>
              <w:rPr>
                <w:rFonts w:ascii="Calibri" w:hAnsi="Calibri"/>
                <w:color w:val="333333"/>
                <w:sz w:val="18"/>
              </w:rPr>
              <w:t>1.3</w:t>
            </w:r>
          </w:p>
        </w:tc>
        <w:tc>
          <w:tcPr>
            <w:tcW w:type="dxa" w:w="1872"/>
            <w:shd w:fill="F2F6FA" w:val="clear"/>
          </w:tcPr>
          <w:p>
            <w:r>
              <w:rPr>
                <w:rFonts w:ascii="Calibri" w:hAnsi="Calibri"/>
                <w:color w:val="333333"/>
                <w:sz w:val="18"/>
              </w:rPr>
              <w:t>01 Aug 2026</w:t>
            </w:r>
          </w:p>
        </w:tc>
        <w:tc>
          <w:tcPr>
            <w:tcW w:type="dxa" w:w="2160"/>
            <w:shd w:fill="F2F6FA" w:val="clear"/>
          </w:tcPr>
          <w:p>
            <w:r>
              <w:rPr>
                <w:rFonts w:ascii="Calibri" w:hAnsi="Calibri"/>
                <w:color w:val="333333"/>
                <w:sz w:val="18"/>
              </w:rPr>
              <w:t>Head of IT &amp; Security</w:t>
            </w:r>
          </w:p>
        </w:tc>
        <w:tc>
          <w:tcPr>
            <w:tcW w:type="dxa" w:w="4320"/>
            <w:shd w:fill="F2F6FA" w:val="clear"/>
          </w:tcPr>
          <w:p>
            <w:r>
              <w:rPr>
                <w:rFonts w:ascii="Calibri" w:hAnsi="Calibri"/>
                <w:color w:val="333333"/>
                <w:sz w:val="18"/>
              </w:rPr>
              <w:t>Added DAM requirements and column-level encryption mandates.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ENG-007</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