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Backup and Disaster Recovery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ENG-008</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CTO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February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August 2026</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ENG-008</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Backup and Disaster Recovery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CTO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February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August 2026</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specific focus on IT, Engineering, and DevOps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1.3 (01 August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ENG-003, ENG-006, ENG-007, SEC-001, SEC-008, CORP-001, CORP-005, DATA-002</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Introduction and Purpose</w:t>
      </w:r>
    </w:p>
    <w:p>
      <w:pPr/>
      <w:r>
        <w:t>As a foundational policy, this document outlines the comprehensive Disaster Recovery (DR) and Backup frameworks for Vistara Global Systems. It ensures business continuity across all global operations.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As a foundational policy, this document outlines the comprehensive Disaster Recovery (DR) and Backup frameworks for Vistara Global Systems. It ensures business continuity across all global operations.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As a foundational policy, this document outlines the comprehensive Disaster Recovery (DR) and Backup frameworks for Vistara Global Systems. It ensures business continuity across all global operations.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As a foundational policy, this document outlines the comprehensive Disaster Recovery (DR) and Backup frameworks for Vistara Global Systems. It ensures business continuity across all global operations.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2. Scope and Applicability</w:t>
      </w:r>
    </w:p>
    <w:p>
      <w:pPr/>
      <w:r>
        <w:t>Applies to all systems, classified into four tiers, including cloud (AWS Mumbai, Singapore, Azure India Central), on-premise, and edge locations.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Applies to all systems, classified into four tiers, including cloud (AWS Mumbai, Singapore, Azure India Central), on-premise, and edge locations.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Applies to all systems, classified into four tiers, including cloud (AWS Mumbai, Singapore, Azure India Central), on-premise, and edge locations.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Applies to all systems, classified into four tiers, including cloud (AWS Mumbai, Singapore, Azure India Central), on-premise, and edge locations.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ListBullet"/>
      </w:pPr>
      <w:r>
        <w:t>All full-time employees of Vistara Global Systems Pvt. Ltd.</w:t>
      </w:r>
    </w:p>
    <w:p>
      <w:pPr>
        <w:pStyle w:val="ListBullet"/>
      </w:pPr>
      <w:r>
        <w:t>Contractors and third-party vendors accessing Vistara systems.</w:t>
      </w:r>
    </w:p>
    <w:p>
      <w:pPr>
        <w:pStyle w:val="ListBullet"/>
      </w:pPr>
      <w:r>
        <w:t>All office locations including Bengaluru, Hyderabad, Pune, Mumbai, Gurugram, Chennai, Kolkata, New Delhi, Singapore, Dubai, London, Austin.</w:t>
      </w:r>
    </w:p>
    <w:p>
      <w:pPr>
        <w:pStyle w:val="ListBullet"/>
      </w:pPr>
      <w:r>
        <w:t>All cloud environments, data centers, and endpoint devices.</w:t>
      </w:r>
    </w:p>
    <w:p>
      <w:pPr>
        <w:pStyle w:val="Heading1"/>
      </w:pPr>
      <w:r>
        <w:t>3. Business Impact Analysis (BIA) and System Classification</w:t>
      </w:r>
    </w:p>
    <w:p>
      <w:pPr/>
      <w:r>
        <w:t>Systems are classified into Tier 1 (Mission Critical), Tier 2 (Business Critical), Tier 3 (Business Important), and Tier 4 (Non-Critical). Tier 1 requires an RTO of 1 hour and RPO of 15 minutes.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21.0.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22.0.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23.0.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24.0. Compliance with Vistara Global Systems enterprise architecture guidelines is mandatory for this control. Exceptions must be documented and approved by the CISO or designated risk owner. Implementation must follow the technical baselines defined in the internal wiki.) Systems are classified into Tier 1 (Mission Critical), Tier 2 (Business Critical), Tier 3 (Business Important), and Tier 4 (Non-Critical). Tier 1 requires an RTO of 1 hour and RPO of 15 minutes. (Reference Section 25.0.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4. Backup Strategy and 3-2-1 Rule</w:t>
      </w:r>
    </w:p>
    <w:p>
      <w:pPr/>
      <w:r>
        <w:t>All backups must adhere to the 3-2-1 rule: 3 copies of data, across 2 different media types, with 1 offsite copy. Backups must be encrypted with AES-256 and separate keys.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21.0.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22.0.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23.0.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24.0.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25.0.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26.0.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27.0.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28.0.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29.0. Compliance with Vistara Global Systems enterprise architecture guidelines is mandatory for this control. Exceptions must be documented and approved by the CISO or designated risk owner. Implementation must follow the technical baselines defined in the internal wiki.) All backups must adhere to the 3-2-1 rule: 3 copies of data, across 2 different media types, with 1 offsite copy. Backups must be encrypted with AES-256 and separate keys. (Reference Section 30.0.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2"/>
      </w:pPr>
      <w:r>
        <w:t>5.. 5. System Classification and RTO/RPO Matrix</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fill="1B3A5C" w:val="clear"/>
          </w:tcPr>
          <w:p>
            <w:pPr>
              <w:jc w:val="center"/>
            </w:pPr>
            <w:r>
              <w:rPr>
                <w:rFonts w:ascii="Calibri" w:hAnsi="Calibri"/>
                <w:b/>
                <w:color w:val="FFFFFF"/>
                <w:sz w:val="20"/>
              </w:rPr>
              <w:t>Tier</w:t>
            </w:r>
          </w:p>
        </w:tc>
        <w:tc>
          <w:tcPr>
            <w:tcW w:type="dxa" w:w="1560"/>
            <w:shd w:fill="1B3A5C" w:val="clear"/>
          </w:tcPr>
          <w:p>
            <w:pPr>
              <w:jc w:val="center"/>
            </w:pPr>
            <w:r>
              <w:rPr>
                <w:rFonts w:ascii="Calibri" w:hAnsi="Calibri"/>
                <w:b/>
                <w:color w:val="FFFFFF"/>
                <w:sz w:val="20"/>
              </w:rPr>
              <w:t>Description</w:t>
            </w:r>
          </w:p>
        </w:tc>
        <w:tc>
          <w:tcPr>
            <w:tcW w:type="dxa" w:w="1560"/>
            <w:shd w:fill="1B3A5C" w:val="clear"/>
          </w:tcPr>
          <w:p>
            <w:pPr>
              <w:jc w:val="center"/>
            </w:pPr>
            <w:r>
              <w:rPr>
                <w:rFonts w:ascii="Calibri" w:hAnsi="Calibri"/>
                <w:b/>
                <w:color w:val="FFFFFF"/>
                <w:sz w:val="20"/>
              </w:rPr>
              <w:t>RTO</w:t>
            </w:r>
          </w:p>
        </w:tc>
        <w:tc>
          <w:tcPr>
            <w:tcW w:type="dxa" w:w="1560"/>
            <w:shd w:fill="1B3A5C" w:val="clear"/>
          </w:tcPr>
          <w:p>
            <w:pPr>
              <w:jc w:val="center"/>
            </w:pPr>
            <w:r>
              <w:rPr>
                <w:rFonts w:ascii="Calibri" w:hAnsi="Calibri"/>
                <w:b/>
                <w:color w:val="FFFFFF"/>
                <w:sz w:val="20"/>
              </w:rPr>
              <w:t>RPO</w:t>
            </w:r>
          </w:p>
        </w:tc>
        <w:tc>
          <w:tcPr>
            <w:tcW w:type="dxa" w:w="1560"/>
            <w:shd w:fill="1B3A5C" w:val="clear"/>
          </w:tcPr>
          <w:p>
            <w:pPr>
              <w:jc w:val="center"/>
            </w:pPr>
            <w:r>
              <w:rPr>
                <w:rFonts w:ascii="Calibri" w:hAnsi="Calibri"/>
                <w:b/>
                <w:color w:val="FFFFFF"/>
                <w:sz w:val="20"/>
              </w:rPr>
              <w:t>Backup Frequency</w:t>
            </w:r>
          </w:p>
        </w:tc>
        <w:tc>
          <w:tcPr>
            <w:tcW w:type="dxa" w:w="1560"/>
            <w:shd w:fill="1B3A5C" w:val="clear"/>
          </w:tcPr>
          <w:p>
            <w:pPr>
              <w:jc w:val="center"/>
            </w:pPr>
            <w:r>
              <w:rPr>
                <w:rFonts w:ascii="Calibri" w:hAnsi="Calibri"/>
                <w:b/>
                <w:color w:val="FFFFFF"/>
                <w:sz w:val="20"/>
              </w:rPr>
              <w:t>Examples</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3</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24 hr</w:t>
            </w:r>
          </w:p>
        </w:tc>
        <w:tc>
          <w:tcPr>
            <w:tcW w:type="dxa" w:w="1560"/>
          </w:tcPr>
          <w:p>
            <w:r>
              <w:rPr>
                <w:rFonts w:ascii="Calibri" w:hAnsi="Calibri"/>
                <w:color w:val="333333"/>
                <w:sz w:val="18"/>
              </w:rPr>
              <w:t>4 hr</w:t>
            </w:r>
          </w:p>
        </w:tc>
        <w:tc>
          <w:tcPr>
            <w:tcW w:type="dxa" w:w="1560"/>
          </w:tcPr>
          <w:p>
            <w:r>
              <w:rPr>
                <w:rFonts w:ascii="Calibri" w:hAnsi="Calibri"/>
                <w:color w:val="333333"/>
                <w:sz w:val="18"/>
              </w:rPr>
              <w:t>Weekly</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4</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72 hr</w:t>
            </w:r>
          </w:p>
        </w:tc>
        <w:tc>
          <w:tcPr>
            <w:tcW w:type="dxa" w:w="1560"/>
            <w:shd w:fill="F2F6FA" w:val="clear"/>
          </w:tcPr>
          <w:p>
            <w:r>
              <w:rPr>
                <w:rFonts w:ascii="Calibri" w:hAnsi="Calibri"/>
                <w:color w:val="333333"/>
                <w:sz w:val="18"/>
              </w:rPr>
              <w:t>24 hr</w:t>
            </w:r>
          </w:p>
        </w:tc>
        <w:tc>
          <w:tcPr>
            <w:tcW w:type="dxa" w:w="1560"/>
            <w:shd w:fill="F2F6FA" w:val="clear"/>
          </w:tcPr>
          <w:p>
            <w:r>
              <w:rPr>
                <w:rFonts w:ascii="Calibri" w:hAnsi="Calibri"/>
                <w:color w:val="333333"/>
                <w:sz w:val="18"/>
              </w:rPr>
              <w:t>Monthly</w:t>
            </w:r>
          </w:p>
        </w:tc>
        <w:tc>
          <w:tcPr>
            <w:tcW w:type="dxa" w:w="1560"/>
            <w:shd w:fill="F2F6FA" w:val="clear"/>
          </w:tcPr>
          <w:p>
            <w:r>
              <w:rPr>
                <w:rFonts w:ascii="Calibri" w:hAnsi="Calibri"/>
                <w:color w:val="333333"/>
                <w:sz w:val="18"/>
              </w:rPr>
              <w:t>SaaS platform, ERP, Wiki, Sandbox</w:t>
            </w:r>
          </w:p>
        </w:tc>
      </w:tr>
      <w:tr>
        <w:tc>
          <w:tcPr>
            <w:tcW w:type="dxa" w:w="1560"/>
          </w:tcPr>
          <w:p>
            <w:r>
              <w:rPr>
                <w:rFonts w:ascii="Calibri" w:hAnsi="Calibri"/>
                <w:color w:val="333333"/>
                <w:sz w:val="18"/>
              </w:rPr>
              <w:t>Tier 1</w:t>
            </w:r>
          </w:p>
        </w:tc>
        <w:tc>
          <w:tcPr>
            <w:tcW w:type="dxa" w:w="1560"/>
          </w:tcPr>
          <w:p>
            <w:r>
              <w:rPr>
                <w:rFonts w:ascii="Calibri" w:hAnsi="Calibri"/>
                <w:color w:val="333333"/>
                <w:sz w:val="18"/>
              </w:rPr>
              <w:t>Criticality definition</w:t>
            </w:r>
          </w:p>
        </w:tc>
        <w:tc>
          <w:tcPr>
            <w:tcW w:type="dxa" w:w="1560"/>
          </w:tcPr>
          <w:p>
            <w:r>
              <w:rPr>
                <w:rFonts w:ascii="Calibri" w:hAnsi="Calibri"/>
                <w:color w:val="333333"/>
                <w:sz w:val="18"/>
              </w:rPr>
              <w:t>1 hr</w:t>
            </w:r>
          </w:p>
        </w:tc>
        <w:tc>
          <w:tcPr>
            <w:tcW w:type="dxa" w:w="1560"/>
          </w:tcPr>
          <w:p>
            <w:r>
              <w:rPr>
                <w:rFonts w:ascii="Calibri" w:hAnsi="Calibri"/>
                <w:color w:val="333333"/>
                <w:sz w:val="18"/>
              </w:rPr>
              <w:t>15 min</w:t>
            </w:r>
          </w:p>
        </w:tc>
        <w:tc>
          <w:tcPr>
            <w:tcW w:type="dxa" w:w="1560"/>
          </w:tcPr>
          <w:p>
            <w:r>
              <w:rPr>
                <w:rFonts w:ascii="Calibri" w:hAnsi="Calibri"/>
                <w:color w:val="333333"/>
                <w:sz w:val="18"/>
              </w:rPr>
              <w:t>Continuous</w:t>
            </w:r>
          </w:p>
        </w:tc>
        <w:tc>
          <w:tcPr>
            <w:tcW w:type="dxa" w:w="1560"/>
          </w:tcPr>
          <w:p>
            <w:r>
              <w:rPr>
                <w:rFonts w:ascii="Calibri" w:hAnsi="Calibri"/>
                <w:color w:val="333333"/>
                <w:sz w:val="18"/>
              </w:rPr>
              <w:t>SaaS platform, ERP, Wiki, Sandbox</w:t>
            </w:r>
          </w:p>
        </w:tc>
      </w:tr>
      <w:tr>
        <w:tc>
          <w:tcPr>
            <w:tcW w:type="dxa" w:w="1560"/>
            <w:shd w:fill="F2F6FA" w:val="clear"/>
          </w:tcPr>
          <w:p>
            <w:r>
              <w:rPr>
                <w:rFonts w:ascii="Calibri" w:hAnsi="Calibri"/>
                <w:color w:val="333333"/>
                <w:sz w:val="18"/>
              </w:rPr>
              <w:t>Tier 2</w:t>
            </w:r>
          </w:p>
        </w:tc>
        <w:tc>
          <w:tcPr>
            <w:tcW w:type="dxa" w:w="1560"/>
            <w:shd w:fill="F2F6FA" w:val="clear"/>
          </w:tcPr>
          <w:p>
            <w:r>
              <w:rPr>
                <w:rFonts w:ascii="Calibri" w:hAnsi="Calibri"/>
                <w:color w:val="333333"/>
                <w:sz w:val="18"/>
              </w:rPr>
              <w:t>Criticality definition</w:t>
            </w:r>
          </w:p>
        </w:tc>
        <w:tc>
          <w:tcPr>
            <w:tcW w:type="dxa" w:w="1560"/>
            <w:shd w:fill="F2F6FA" w:val="clear"/>
          </w:tcPr>
          <w:p>
            <w:r>
              <w:rPr>
                <w:rFonts w:ascii="Calibri" w:hAnsi="Calibri"/>
                <w:color w:val="333333"/>
                <w:sz w:val="18"/>
              </w:rPr>
              <w:t>4 hr</w:t>
            </w:r>
          </w:p>
        </w:tc>
        <w:tc>
          <w:tcPr>
            <w:tcW w:type="dxa" w:w="1560"/>
            <w:shd w:fill="F2F6FA" w:val="clear"/>
          </w:tcPr>
          <w:p>
            <w:r>
              <w:rPr>
                <w:rFonts w:ascii="Calibri" w:hAnsi="Calibri"/>
                <w:color w:val="333333"/>
                <w:sz w:val="18"/>
              </w:rPr>
              <w:t>1 hr</w:t>
            </w:r>
          </w:p>
        </w:tc>
        <w:tc>
          <w:tcPr>
            <w:tcW w:type="dxa" w:w="1560"/>
            <w:shd w:fill="F2F6FA" w:val="clear"/>
          </w:tcPr>
          <w:p>
            <w:r>
              <w:rPr>
                <w:rFonts w:ascii="Calibri" w:hAnsi="Calibri"/>
                <w:color w:val="333333"/>
                <w:sz w:val="18"/>
              </w:rPr>
              <w:t>Daily</w:t>
            </w:r>
          </w:p>
        </w:tc>
        <w:tc>
          <w:tcPr>
            <w:tcW w:type="dxa" w:w="1560"/>
            <w:shd w:fill="F2F6FA" w:val="clear"/>
          </w:tcPr>
          <w:p>
            <w:r>
              <w:rPr>
                <w:rFonts w:ascii="Calibri" w:hAnsi="Calibri"/>
                <w:color w:val="333333"/>
                <w:sz w:val="18"/>
              </w:rPr>
              <w:t>SaaS platform, ERP, Wiki, Sandbox</w:t>
            </w:r>
          </w:p>
        </w:tc>
      </w:tr>
    </w:tbl>
    <w:p/>
    <w:p>
      <w:pPr>
        <w:pStyle w:val="Heading1"/>
      </w:pPr>
      <w:r>
        <w:t>6. Disaster Recovery Sites and Procedures</w:t>
      </w:r>
    </w:p>
    <w:p>
      <w:pPr/>
      <w:r>
        <w:t>Primary site is AWS Mumbai. DR site is AWS Singapore. Cold standby is Azure India Central. Failover procedures must be documented in DR runbooks and tested annually. (Reference Section 1.0.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4.0.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5.0.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6.0.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7.0.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8.0.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9.0.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10.0.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11.0.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12.0.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13.0.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14.0.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15.0.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16.0.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17.0.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18.0.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19.0.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20.0.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21.0.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22.0.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23.0.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24.0.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25.0.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26.0.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27.0.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28.0.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29.0.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30.0.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31.0.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32.0.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33.0.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34.0.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35.0.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36.0.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37.0.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38.0.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39.0. Compliance with Vistara Global Systems enterprise architecture guidelines is mandatory for this control. Exceptions must be documented and approved by the CISO or designated risk owner. Implementation must follow the technical baselines defined in the internal wiki.) Primary site is AWS Mumbai. DR site is AWS Singapore. Cold standby is Azure India Central. Failover procedures must be documented in DR runbooks and tested annually. (Reference Section 40.0. Compliance with Vistara Global Systems enterprise architecture guidelines is mandatory for this control. Exceptions must be documented and approved by the CISO or designated risk owner. Implementation must follow the technical baselines defined in the internal wiki.)</w:t>
      </w:r>
    </w:p>
    <w:p>
      <w:pPr>
        <w:pStyle w:val="Heading1"/>
      </w:pPr>
      <w:r>
        <w:t>7. Frequently Asked Questions (FAQ)</w:t>
      </w:r>
    </w:p>
    <w:p>
      <w:r>
        <w:rPr>
          <w:rFonts w:ascii="Calibri" w:hAnsi="Calibri"/>
          <w:b/>
          <w:color w:val="1B3A5C"/>
          <w:sz w:val="22"/>
        </w:rPr>
        <w:t>Q: FAQ 1: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4: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5: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6: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7: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8: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9: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10: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11: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12: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13: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14: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15: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16: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17: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18: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19: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20: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21: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22: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23: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24: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25: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26: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27: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28: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29: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30: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31: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32: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33: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34: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r>
        <w:rPr>
          <w:rFonts w:ascii="Calibri" w:hAnsi="Calibri"/>
          <w:b/>
          <w:color w:val="1B3A5C"/>
          <w:sz w:val="22"/>
        </w:rPr>
        <w:t>Q: FAQ 35: What constitutes a disaster declaration?</w:t>
      </w:r>
    </w:p>
    <w:p>
      <w:pPr>
        <w:spacing w:after="240"/>
      </w:pPr>
      <w:r>
        <w:rPr>
          <w:rFonts w:ascii="Calibri" w:hAnsi="Calibri"/>
          <w:color w:val="333333"/>
          <w:sz w:val="22"/>
        </w:rPr>
        <w:t>A: A disaster is declared by the Executive Leadership Team when system outages exceed acceptable RTO thresholds or significant data loss/corruption occurs that cannot be mitigated through standard incident response.</w:t>
      </w:r>
    </w:p>
    <w:p>
      <w:pPr>
        <w:pStyle w:val="Heading1"/>
      </w:pPr>
      <w:r>
        <w:t>8. Disaster Recovery Scenarios</w:t>
      </w:r>
    </w:p>
    <w:p>
      <w:pPr>
        <w:pStyle w:val="Heading3"/>
      </w:pPr>
      <w:r>
        <w:t>DR Scenario 1: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3: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4: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5: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6: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7: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8: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9: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10: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11: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12: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13: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14: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15: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16: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17: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18: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19: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20: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21: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22: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23: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24: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3"/>
      </w:pPr>
      <w:r>
        <w:t>DR Scenario 25: Regional Cloud Outage</w:t>
      </w:r>
    </w:p>
    <w:p>
      <w:r>
        <w:rPr>
          <w:b/>
          <w:color w:val="1B3A5C"/>
        </w:rPr>
        <w:t xml:space="preserve">Situation: </w:t>
      </w:r>
      <w:r>
        <w:t>AWS Mumbai region experiences a complete availability zone failure.</w:t>
      </w:r>
    </w:p>
    <w:p>
      <w:r>
        <w:rPr>
          <w:b/>
          <w:color w:val="1B3A5C"/>
        </w:rPr>
        <w:t xml:space="preserve">Relevant Requirements: </w:t>
      </w:r>
      <w:r>
        <w:t>Tier 1 systems must failover to AWS Singapore within 1 hour.</w:t>
      </w:r>
    </w:p>
    <w:p>
      <w:r>
        <w:rPr>
          <w:b/>
          <w:color w:val="1B3A5C"/>
        </w:rPr>
        <w:t xml:space="preserve">Expected Process: </w:t>
      </w:r>
      <w:r>
        <w:t>Automated DNS routing switches traffic. Read-replicas in Singapore are promoted to primary.</w:t>
      </w:r>
    </w:p>
    <w:p>
      <w:r>
        <w:rPr>
          <w:b/>
          <w:color w:val="1B3A5C"/>
        </w:rPr>
        <w:t xml:space="preserve">Outcome: </w:t>
      </w:r>
      <w:r>
        <w:t>Platform availability is restored within SLA.</w:t>
      </w:r>
    </w:p>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01 Aug 2025</w:t>
            </w:r>
          </w:p>
        </w:tc>
        <w:tc>
          <w:tcPr>
            <w:tcW w:type="dxa" w:w="2160"/>
          </w:tcPr>
          <w:p>
            <w:r>
              <w:rPr>
                <w:rFonts w:ascii="Calibri" w:hAnsi="Calibri"/>
                <w:color w:val="333333"/>
                <w:sz w:val="18"/>
              </w:rPr>
              <w:t>IT Director</w:t>
            </w:r>
          </w:p>
        </w:tc>
        <w:tc>
          <w:tcPr>
            <w:tcW w:type="dxa" w:w="4320"/>
          </w:tcPr>
          <w:p>
            <w:r>
              <w:rPr>
                <w:rFonts w:ascii="Calibri" w:hAnsi="Calibri"/>
                <w:color w:val="333333"/>
                <w:sz w:val="18"/>
              </w:rPr>
              <w:t>Updated backup retention periods.</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Feb 2026</w:t>
            </w:r>
          </w:p>
        </w:tc>
        <w:tc>
          <w:tcPr>
            <w:tcW w:type="dxa" w:w="2160"/>
            <w:shd w:fill="F2F6FA" w:val="clear"/>
          </w:tcPr>
          <w:p>
            <w:r>
              <w:rPr>
                <w:rFonts w:ascii="Calibri" w:hAnsi="Calibri"/>
                <w:color w:val="333333"/>
                <w:sz w:val="18"/>
              </w:rPr>
              <w:t>CTO</w:t>
            </w:r>
          </w:p>
        </w:tc>
        <w:tc>
          <w:tcPr>
            <w:tcW w:type="dxa" w:w="4320"/>
            <w:shd w:fill="F2F6FA" w:val="clear"/>
          </w:tcPr>
          <w:p>
            <w:r>
              <w:rPr>
                <w:rFonts w:ascii="Calibri" w:hAnsi="Calibri"/>
                <w:color w:val="333333"/>
                <w:sz w:val="18"/>
              </w:rPr>
              <w:t>Major overhaul to designate as FOUNDATIONAL policy. Added extensive RTO/RPO matrices.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ENG-008</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