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IT Asset and Configuration Management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ENG-009</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Head of IT &amp; Security</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June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June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ENG-009</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IT Asset and Configuration Management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Head of IT &amp; Security</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15 June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15 June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December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ENG-003, ENG-008, SEC-001, SEC-007, HR-012, FIN-003</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and Purpose</w:t>
      </w:r>
    </w:p>
    <w:p>
      <w:pPr/>
      <w:r>
        <w:t>This policy dictates the lifecycle management of all hardware, software, and cloud assets owned by Vistara Global Systems.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This policy dictates the lifecycle management of all hardware, software, and cloud assets owned by Vistara Global Systems.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This policy dictates the lifecycle management of all hardware, software, and cloud assets owned by Vistara Global Systems.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This policy dictates the lifecycle management of all hardware, software, and cloud assets owned by Vistara Global Systems.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2. Scope and Applicability</w:t>
      </w:r>
    </w:p>
    <w:p>
      <w:pPr/>
      <w:r>
        <w:t>Applies to all laptops, desktops, mobile devices, servers, network equipment, SaaS subscriptions, and cloud resources.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Applies to all laptops, desktops, mobile devices, servers, network equipment, SaaS subscriptions, and cloud resources.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Applies to all laptops, desktops, mobile devices, servers, network equipment, SaaS subscriptions, and cloud resources.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Applies to all laptops, desktops, mobile devices, servers, network equipment, SaaS subscriptions, and cloud resources.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ListBullet"/>
      </w:pPr>
      <w:r>
        <w:t>All full-time employees of Vistara Global Systems Pvt. Ltd.</w:t>
      </w:r>
    </w:p>
    <w:p>
      <w:pPr>
        <w:pStyle w:val="ListBullet"/>
      </w:pPr>
      <w:r>
        <w:t>Contractors and third-party vendors accessing Vistara systems.</w:t>
      </w:r>
    </w:p>
    <w:p>
      <w:pPr>
        <w:pStyle w:val="ListBullet"/>
      </w:pPr>
      <w:r>
        <w:t>All office locations including Bengaluru, Hyderabad, Pune, Mumbai, Gurugram, Chennai, Kolkata, New Delhi, Singapore, Dubai, London, Austin.</w:t>
      </w:r>
    </w:p>
    <w:p>
      <w:pPr>
        <w:pStyle w:val="ListBullet"/>
      </w:pPr>
      <w:r>
        <w:t>All cloud environments, data centers, and endpoint devices.</w:t>
      </w:r>
    </w:p>
    <w:p>
      <w:pPr>
        <w:pStyle w:val="Heading1"/>
      </w:pPr>
      <w:r>
        <w:t>3. Asset Categories and Tagging</w:t>
      </w:r>
    </w:p>
    <w:p>
      <w:pPr/>
      <w:r>
        <w:t>Hardware assets are tagged as VGS-HW-XXXXX. Software assets are tagged as VGS-SW-XXXXX. All assets must be registered in the ServiceNow CMDB.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Hardware assets are tagged as VGS-HW-XXXXX. Software assets are tagged as VGS-SW-XXXXX. All assets must be registered in the ServiceNow CMDB.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4. Hardware and Software Standards</w:t>
      </w:r>
    </w:p>
    <w:p>
      <w:pPr/>
      <w:r>
        <w:t>Developer hardware specification is i7/32GB RAM/512GB SSD. Standard user specification is i5/16GB RAM/256GB SSD. Non-standard software requires IT approval.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16.0.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17.0.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18.0.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19.0. Compliance with Vistara Global Systems enterprise architecture guidelines is mandatory for this control. Exceptions must be documented and approved by the CISO or designated risk owner. Implementation must follow the technical baselines defined in the internal wiki.) Developer hardware specification is i7/32GB RAM/512GB SSD. Standard user specification is i5/16GB RAM/256GB SSD. Non-standard software requires IT approval. (Reference Section 20.0.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2"/>
      </w:pPr>
      <w:r>
        <w:t>5.. 5. Asset Lifecycle Management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Phase</w:t>
            </w:r>
          </w:p>
        </w:tc>
        <w:tc>
          <w:tcPr>
            <w:tcW w:type="dxa" w:w="2340"/>
            <w:shd w:fill="1B3A5C" w:val="clear"/>
          </w:tcPr>
          <w:p>
            <w:pPr>
              <w:jc w:val="center"/>
            </w:pPr>
            <w:r>
              <w:rPr>
                <w:rFonts w:ascii="Calibri" w:hAnsi="Calibri"/>
                <w:b/>
                <w:color w:val="FFFFFF"/>
                <w:sz w:val="20"/>
              </w:rPr>
              <w:t>Responsible Party</w:t>
            </w:r>
          </w:p>
        </w:tc>
        <w:tc>
          <w:tcPr>
            <w:tcW w:type="dxa" w:w="2340"/>
            <w:shd w:fill="1B3A5C" w:val="clear"/>
          </w:tcPr>
          <w:p>
            <w:pPr>
              <w:jc w:val="center"/>
            </w:pPr>
            <w:r>
              <w:rPr>
                <w:rFonts w:ascii="Calibri" w:hAnsi="Calibri"/>
                <w:b/>
                <w:color w:val="FFFFFF"/>
                <w:sz w:val="20"/>
              </w:rPr>
              <w:t>Required Actions</w:t>
            </w:r>
          </w:p>
        </w:tc>
        <w:tc>
          <w:tcPr>
            <w:tcW w:type="dxa" w:w="2340"/>
            <w:shd w:fill="1B3A5C" w:val="clear"/>
          </w:tcPr>
          <w:p>
            <w:pPr>
              <w:jc w:val="center"/>
            </w:pPr>
            <w:r>
              <w:rPr>
                <w:rFonts w:ascii="Calibri" w:hAnsi="Calibri"/>
                <w:b/>
                <w:color w:val="FFFFFF"/>
                <w:sz w:val="20"/>
              </w:rPr>
              <w:t>Documentation</w:t>
            </w:r>
          </w:p>
        </w:tc>
      </w:tr>
      <w:tr>
        <w:tc>
          <w:tcPr>
            <w:tcW w:type="dxa" w:w="2340"/>
          </w:tcPr>
          <w:p>
            <w:r>
              <w:rPr>
                <w:rFonts w:ascii="Calibri" w:hAnsi="Calibri"/>
                <w:color w:val="333333"/>
                <w:sz w:val="18"/>
              </w:rPr>
              <w:t>Procurement</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Deployment</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Maintenance</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Disposal</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Procurement</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Deployment</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Maintenance</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Disposal</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Procurement</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Deployment</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Maintenance</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Disposal</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Procurement</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Deployment</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Maintenance</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Disposal</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Procurement</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Deployment</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Maintenance</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Disposal</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Procurement</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Deployment</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Maintenance</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Disposal</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Procurement</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Deployment</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Maintenance</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Disposal</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r>
        <w:tc>
          <w:tcPr>
            <w:tcW w:type="dxa" w:w="2340"/>
          </w:tcPr>
          <w:p>
            <w:r>
              <w:rPr>
                <w:rFonts w:ascii="Calibri" w:hAnsi="Calibri"/>
                <w:color w:val="333333"/>
                <w:sz w:val="18"/>
              </w:rPr>
              <w:t>Procurement</w:t>
            </w:r>
          </w:p>
        </w:tc>
        <w:tc>
          <w:tcPr>
            <w:tcW w:type="dxa" w:w="2340"/>
          </w:tcPr>
          <w:p>
            <w:r>
              <w:rPr>
                <w:rFonts w:ascii="Calibri" w:hAnsi="Calibri"/>
                <w:color w:val="333333"/>
                <w:sz w:val="18"/>
              </w:rPr>
              <w:t>IT Operations</w:t>
            </w:r>
          </w:p>
        </w:tc>
        <w:tc>
          <w:tcPr>
            <w:tcW w:type="dxa" w:w="2340"/>
          </w:tcPr>
          <w:p>
            <w:r>
              <w:rPr>
                <w:rFonts w:ascii="Calibri" w:hAnsi="Calibri"/>
                <w:color w:val="333333"/>
                <w:sz w:val="18"/>
              </w:rPr>
              <w:t>Execute standard procedures and update CMDB</w:t>
            </w:r>
          </w:p>
        </w:tc>
        <w:tc>
          <w:tcPr>
            <w:tcW w:type="dxa" w:w="2340"/>
          </w:tcPr>
          <w:p>
            <w:r>
              <w:rPr>
                <w:rFonts w:ascii="Calibri" w:hAnsi="Calibri"/>
                <w:color w:val="333333"/>
                <w:sz w:val="18"/>
              </w:rPr>
              <w:t>ServiceNow Ticket</w:t>
            </w:r>
          </w:p>
        </w:tc>
      </w:tr>
      <w:tr>
        <w:tc>
          <w:tcPr>
            <w:tcW w:type="dxa" w:w="2340"/>
            <w:shd w:fill="F2F6FA" w:val="clear"/>
          </w:tcPr>
          <w:p>
            <w:r>
              <w:rPr>
                <w:rFonts w:ascii="Calibri" w:hAnsi="Calibri"/>
                <w:color w:val="333333"/>
                <w:sz w:val="18"/>
              </w:rPr>
              <w:t>Deployment</w:t>
            </w:r>
          </w:p>
        </w:tc>
        <w:tc>
          <w:tcPr>
            <w:tcW w:type="dxa" w:w="2340"/>
            <w:shd w:fill="F2F6FA" w:val="clear"/>
          </w:tcPr>
          <w:p>
            <w:r>
              <w:rPr>
                <w:rFonts w:ascii="Calibri" w:hAnsi="Calibri"/>
                <w:color w:val="333333"/>
                <w:sz w:val="18"/>
              </w:rPr>
              <w:t>IT Operations</w:t>
            </w:r>
          </w:p>
        </w:tc>
        <w:tc>
          <w:tcPr>
            <w:tcW w:type="dxa" w:w="2340"/>
            <w:shd w:fill="F2F6FA" w:val="clear"/>
          </w:tcPr>
          <w:p>
            <w:r>
              <w:rPr>
                <w:rFonts w:ascii="Calibri" w:hAnsi="Calibri"/>
                <w:color w:val="333333"/>
                <w:sz w:val="18"/>
              </w:rPr>
              <w:t>Execute standard procedures and update CMDB</w:t>
            </w:r>
          </w:p>
        </w:tc>
        <w:tc>
          <w:tcPr>
            <w:tcW w:type="dxa" w:w="2340"/>
            <w:shd w:fill="F2F6FA" w:val="clear"/>
          </w:tcPr>
          <w:p>
            <w:r>
              <w:rPr>
                <w:rFonts w:ascii="Calibri" w:hAnsi="Calibri"/>
                <w:color w:val="333333"/>
                <w:sz w:val="18"/>
              </w:rPr>
              <w:t>ServiceNow Ticket</w:t>
            </w:r>
          </w:p>
        </w:tc>
      </w:tr>
    </w:tbl>
    <w:p/>
    <w:p>
      <w:pPr>
        <w:pStyle w:val="Heading1"/>
      </w:pPr>
      <w:r>
        <w:t>6. Offboarding and Disposal</w:t>
      </w:r>
    </w:p>
    <w:p>
      <w:pPr/>
      <w:r>
        <w:t>Assets must be returned on the last working day. Data wiping follows NIST 800-88 standards. Physical destruction is mandatory for end-of-life storage media.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Assets must be returned on the last working day. Data wiping follows NIST 800-88 standards. Physical destruction is mandatory for end-of-life storage media.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7. Frequently Asked Questions (FAQ)</w:t>
      </w:r>
    </w:p>
    <w:p>
      <w:r>
        <w:rPr>
          <w:rFonts w:ascii="Calibri" w:hAnsi="Calibri"/>
          <w:b/>
          <w:color w:val="1B3A5C"/>
          <w:sz w:val="22"/>
        </w:rPr>
        <w:t>Q: FAQ 1: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2: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3: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4: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5: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6: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7: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8: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9: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10: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11: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12: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13: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14: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r>
        <w:rPr>
          <w:rFonts w:ascii="Calibri" w:hAnsi="Calibri"/>
          <w:b/>
          <w:color w:val="1B3A5C"/>
          <w:sz w:val="22"/>
        </w:rPr>
        <w:t>Q: FAQ 15: What do I do if my laptop is stolen?</w:t>
      </w:r>
    </w:p>
    <w:p>
      <w:pPr>
        <w:spacing w:after="240"/>
      </w:pPr>
      <w:r>
        <w:rPr>
          <w:rFonts w:ascii="Calibri" w:hAnsi="Calibri"/>
          <w:color w:val="333333"/>
          <w:sz w:val="22"/>
        </w:rPr>
        <w:t>A: Report it immediately to the IT Helpdesk and Security team. The device will be remotely wiped to protect company data.</w:t>
      </w:r>
    </w:p>
    <w:p>
      <w:pPr>
        <w:pStyle w:val="Heading1"/>
      </w:pPr>
      <w:r>
        <w:t>8. Revision History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1.1</w:t>
            </w:r>
          </w:p>
        </w:tc>
        <w:tc>
          <w:tcPr>
            <w:tcW w:type="dxa" w:w="1872"/>
          </w:tcPr>
          <w:p>
            <w:r>
              <w:rPr>
                <w:rFonts w:ascii="Calibri" w:hAnsi="Calibri"/>
                <w:color w:val="333333"/>
                <w:sz w:val="18"/>
              </w:rPr>
              <w:t>01 Dec 2025</w:t>
            </w:r>
          </w:p>
        </w:tc>
        <w:tc>
          <w:tcPr>
            <w:tcW w:type="dxa" w:w="2160"/>
          </w:tcPr>
          <w:p>
            <w:r>
              <w:rPr>
                <w:rFonts w:ascii="Calibri" w:hAnsi="Calibri"/>
                <w:color w:val="333333"/>
                <w:sz w:val="18"/>
              </w:rPr>
              <w:t>IT Manager</w:t>
            </w:r>
          </w:p>
        </w:tc>
        <w:tc>
          <w:tcPr>
            <w:tcW w:type="dxa" w:w="4320"/>
          </w:tcPr>
          <w:p>
            <w:r>
              <w:rPr>
                <w:rFonts w:ascii="Calibri" w:hAnsi="Calibri"/>
                <w:color w:val="333333"/>
                <w:sz w:val="18"/>
              </w:rPr>
              <w:t>Initial asset tagging rules.</w:t>
            </w:r>
          </w:p>
        </w:tc>
      </w:tr>
      <w:tr>
        <w:tc>
          <w:tcPr>
            <w:tcW w:type="dxa" w:w="1152"/>
            <w:shd w:fill="F2F6FA" w:val="clear"/>
          </w:tcPr>
          <w:p>
            <w:r>
              <w:rPr>
                <w:rFonts w:ascii="Calibri" w:hAnsi="Calibri"/>
                <w:color w:val="333333"/>
                <w:sz w:val="18"/>
              </w:rPr>
              <w:t>1.2</w:t>
            </w:r>
          </w:p>
        </w:tc>
        <w:tc>
          <w:tcPr>
            <w:tcW w:type="dxa" w:w="1872"/>
            <w:shd w:fill="F2F6FA" w:val="clear"/>
          </w:tcPr>
          <w:p>
            <w:r>
              <w:rPr>
                <w:rFonts w:ascii="Calibri" w:hAnsi="Calibri"/>
                <w:color w:val="333333"/>
                <w:sz w:val="18"/>
              </w:rPr>
              <w:t>15 Jun 2026</w:t>
            </w:r>
          </w:p>
        </w:tc>
        <w:tc>
          <w:tcPr>
            <w:tcW w:type="dxa" w:w="2160"/>
            <w:shd w:fill="F2F6FA" w:val="clear"/>
          </w:tcPr>
          <w:p>
            <w:r>
              <w:rPr>
                <w:rFonts w:ascii="Calibri" w:hAnsi="Calibri"/>
                <w:color w:val="333333"/>
                <w:sz w:val="18"/>
              </w:rPr>
              <w:t>Head of IT &amp; Security</w:t>
            </w:r>
          </w:p>
        </w:tc>
        <w:tc>
          <w:tcPr>
            <w:tcW w:type="dxa" w:w="4320"/>
            <w:shd w:fill="F2F6FA" w:val="clear"/>
          </w:tcPr>
          <w:p>
            <w:r>
              <w:rPr>
                <w:rFonts w:ascii="Calibri" w:hAnsi="Calibri"/>
                <w:color w:val="333333"/>
                <w:sz w:val="18"/>
              </w:rPr>
              <w:t>Integrated cloud resource tracking into CMDB.</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ENG-009</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