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3A5C"/>
          <w:sz w:val="56"/>
        </w:rPr>
        <w:t>VISTARA GLOBAL SYSTEMS</w:t>
      </w:r>
    </w:p>
    <w:p>
      <w:pPr>
        <w:jc w:val="center"/>
      </w:pPr>
      <w:r>
        <w:rPr>
          <w:rFonts w:ascii="Calibri" w:hAnsi="Calibri"/>
          <w:color w:val="666666"/>
          <w:sz w:val="28"/>
        </w:rPr>
        <w:t>Pvt. Ltd.</w:t>
      </w:r>
    </w:p>
    <w:p>
      <w:pPr>
        <w:jc w:val="center"/>
      </w:pPr>
      <w:r>
        <w:rPr>
          <w:color w:val="1B3A5C"/>
          <w:sz w:val="24"/>
        </w:rPr>
        <w:t>━━━━━━━━━━━━━━━━━━━━━━━━━━━━━━━━━━━━━━━━━━━━━━━━━━</w:t>
      </w:r>
    </w:p>
    <w:p/>
    <w:p>
      <w:pPr>
        <w:jc w:val="center"/>
      </w:pPr>
      <w:r>
        <w:rPr>
          <w:rFonts w:ascii="Calibri" w:hAnsi="Calibri"/>
          <w:b/>
          <w:color w:val="333333"/>
          <w:sz w:val="44"/>
        </w:rPr>
        <w:t>Conflict of Interest Policy</w:t>
      </w:r>
    </w:p>
    <w:p/>
    <w:tbl>
      <w:tblPr>
        <w:tblW w:type="auto" w:w="0"/>
        <w:jc w:val="center"/>
        <w:tblLook w:firstColumn="1" w:firstRow="1" w:lastColumn="0" w:lastRow="0" w:noHBand="0" w:noVBand="1" w:val="04A0"/>
      </w:tblPr>
      <w:tblGrid>
        <w:gridCol w:w="4680"/>
        <w:gridCol w:w="4680"/>
      </w:tblGrid>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ID:</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LEGAL-002</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Version: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1.3</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Status:</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Approved</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Classification:</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Internal</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Policy Owner:</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Chief Legal Officer</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Approved By:</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CEO</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Effective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March 2026</w:t>
            </w:r>
          </w:p>
        </w:tc>
      </w:tr>
      <w:tr>
        <w:tc>
          <w:tcPr>
            <w:tcW w:type="dxa" w:w="3600"/>
            <w:tcBorders>
              <w:top w:val="none" w:sz="0" w:space="0" w:color="auto"/>
              <w:left w:val="none" w:sz="0" w:space="0" w:color="auto"/>
              <w:bottom w:val="none" w:sz="0" w:space="0" w:color="auto"/>
              <w:right w:val="none" w:sz="0" w:space="0" w:color="auto"/>
            </w:tcBorders>
          </w:tcPr>
          <w:p>
            <w:pPr>
              <w:jc w:val="right"/>
            </w:pPr>
            <w:r>
              <w:rPr>
                <w:rFonts w:ascii="Calibri" w:hAnsi="Calibri"/>
                <w:b/>
                <w:color w:val="1B3A5C"/>
                <w:sz w:val="22"/>
              </w:rPr>
              <w:t>Next Review Date:</w:t>
            </w:r>
          </w:p>
        </w:tc>
        <w:tc>
          <w:tcPr>
            <w:tcW w:type="dxa" w:w="5040"/>
            <w:tcBorders>
              <w:top w:val="none" w:sz="0" w:space="0" w:color="auto"/>
              <w:left w:val="none" w:sz="0" w:space="0" w:color="auto"/>
              <w:bottom w:val="none" w:sz="0" w:space="0" w:color="auto"/>
              <w:right w:val="none" w:sz="0" w:space="0" w:color="auto"/>
            </w:tcBorders>
          </w:tcPr>
          <w:p>
            <w:r>
              <w:rPr>
                <w:rFonts w:ascii="Calibri" w:hAnsi="Calibri"/>
                <w:color w:val="333333"/>
                <w:sz w:val="22"/>
              </w:rPr>
              <w:t xml:space="preserve">  15 March 2027</w:t>
            </w:r>
          </w:p>
        </w:tc>
      </w:tr>
    </w:tbl>
    <w:p/>
    <w:p/>
    <w:p>
      <w:pPr>
        <w:jc w:val="center"/>
      </w:pPr>
      <w:r>
        <w:rPr>
          <w:rFonts w:ascii="Calibri" w:hAnsi="Calibri"/>
          <w:i/>
          <w:color w:val="999999"/>
          <w:sz w:val="18"/>
        </w:rPr>
        <w:t>Fictional enterprise policy document for demonstration and knowledge-assistant testing.</w:t>
      </w:r>
    </w:p>
    <w:p>
      <w:r>
        <w:br w:type="page"/>
      </w:r>
    </w:p>
    <w:p>
      <w:pPr>
        <w:pStyle w:val="Heading1"/>
      </w:pPr>
      <w:r>
        <w:t>Document Control</w:t>
      </w:r>
    </w:p>
    <w:tbl>
      <w:tblPr>
        <w:tblStyle w:val="TableGrid"/>
        <w:tblW w:type="auto" w:w="0"/>
        <w:jc w:val="left"/>
        <w:tblLook w:firstColumn="1" w:firstRow="1" w:lastColumn="0" w:lastRow="0" w:noHBand="0" w:noVBand="1" w:val="04A0"/>
      </w:tblPr>
      <w:tblGrid>
        <w:gridCol w:w="4680"/>
        <w:gridCol w:w="4680"/>
      </w:tblGrid>
      <w:tr>
        <w:tc>
          <w:tcPr>
            <w:tcW w:type="dxa" w:w="2880"/>
            <w:shd w:fill="E8EFF7" w:val="clear"/>
          </w:tcPr>
          <w:p>
            <w:r>
              <w:rPr>
                <w:rFonts w:ascii="Calibri" w:hAnsi="Calibri"/>
                <w:b/>
                <w:color w:val="1B3A5C"/>
                <w:sz w:val="20"/>
              </w:rPr>
              <w:t>Document ID</w:t>
            </w:r>
          </w:p>
        </w:tc>
        <w:tc>
          <w:tcPr>
            <w:tcW w:type="dxa" w:w="6480"/>
          </w:tcPr>
          <w:p>
            <w:r>
              <w:rPr>
                <w:rFonts w:ascii="Calibri" w:hAnsi="Calibri"/>
                <w:color w:val="333333"/>
                <w:sz w:val="20"/>
              </w:rPr>
              <w:t>LEGAL-002</w:t>
            </w:r>
          </w:p>
        </w:tc>
      </w:tr>
      <w:tr>
        <w:tc>
          <w:tcPr>
            <w:tcW w:type="dxa" w:w="2880"/>
            <w:shd w:fill="E8EFF7" w:val="clear"/>
          </w:tcPr>
          <w:p>
            <w:r>
              <w:rPr>
                <w:rFonts w:ascii="Calibri" w:hAnsi="Calibri"/>
                <w:b/>
                <w:color w:val="1B3A5C"/>
                <w:sz w:val="20"/>
              </w:rPr>
              <w:t>Policy Name</w:t>
            </w:r>
          </w:p>
        </w:tc>
        <w:tc>
          <w:tcPr>
            <w:tcW w:type="dxa" w:w="6480"/>
          </w:tcPr>
          <w:p>
            <w:r>
              <w:rPr>
                <w:rFonts w:ascii="Calibri" w:hAnsi="Calibri"/>
                <w:color w:val="333333"/>
                <w:sz w:val="20"/>
              </w:rPr>
              <w:t>Conflict of Interest Policy</w:t>
            </w:r>
          </w:p>
        </w:tc>
      </w:tr>
      <w:tr>
        <w:tc>
          <w:tcPr>
            <w:tcW w:type="dxa" w:w="2880"/>
            <w:shd w:fill="E8EFF7" w:val="clear"/>
          </w:tcPr>
          <w:p>
            <w:r>
              <w:rPr>
                <w:rFonts w:ascii="Calibri" w:hAnsi="Calibri"/>
                <w:b/>
                <w:color w:val="1B3A5C"/>
                <w:sz w:val="20"/>
              </w:rPr>
              <w:t>Version</w:t>
            </w:r>
          </w:p>
        </w:tc>
        <w:tc>
          <w:tcPr>
            <w:tcW w:type="dxa" w:w="6480"/>
          </w:tcPr>
          <w:p>
            <w:r>
              <w:rPr>
                <w:rFonts w:ascii="Calibri" w:hAnsi="Calibri"/>
                <w:color w:val="333333"/>
                <w:sz w:val="20"/>
              </w:rPr>
              <w:t>1.3</w:t>
            </w:r>
          </w:p>
        </w:tc>
      </w:tr>
      <w:tr>
        <w:tc>
          <w:tcPr>
            <w:tcW w:type="dxa" w:w="2880"/>
            <w:shd w:fill="E8EFF7" w:val="clear"/>
          </w:tcPr>
          <w:p>
            <w:r>
              <w:rPr>
                <w:rFonts w:ascii="Calibri" w:hAnsi="Calibri"/>
                <w:b/>
                <w:color w:val="1B3A5C"/>
                <w:sz w:val="20"/>
              </w:rPr>
              <w:t>Status</w:t>
            </w:r>
          </w:p>
        </w:tc>
        <w:tc>
          <w:tcPr>
            <w:tcW w:type="dxa" w:w="6480"/>
          </w:tcPr>
          <w:p>
            <w:r>
              <w:rPr>
                <w:rFonts w:ascii="Calibri" w:hAnsi="Calibri"/>
                <w:color w:val="333333"/>
                <w:sz w:val="20"/>
              </w:rPr>
              <w:t>Approved</w:t>
            </w:r>
          </w:p>
        </w:tc>
      </w:tr>
      <w:tr>
        <w:tc>
          <w:tcPr>
            <w:tcW w:type="dxa" w:w="2880"/>
            <w:shd w:fill="E8EFF7" w:val="clear"/>
          </w:tcPr>
          <w:p>
            <w:r>
              <w:rPr>
                <w:rFonts w:ascii="Calibri" w:hAnsi="Calibri"/>
                <w:b/>
                <w:color w:val="1B3A5C"/>
                <w:sz w:val="20"/>
              </w:rPr>
              <w:t>Classification</w:t>
            </w:r>
          </w:p>
        </w:tc>
        <w:tc>
          <w:tcPr>
            <w:tcW w:type="dxa" w:w="6480"/>
          </w:tcPr>
          <w:p>
            <w:r>
              <w:rPr>
                <w:rFonts w:ascii="Calibri" w:hAnsi="Calibri"/>
                <w:color w:val="333333"/>
                <w:sz w:val="20"/>
              </w:rPr>
              <w:t>Internal</w:t>
            </w:r>
          </w:p>
        </w:tc>
      </w:tr>
      <w:tr>
        <w:tc>
          <w:tcPr>
            <w:tcW w:type="dxa" w:w="2880"/>
            <w:shd w:fill="E8EFF7" w:val="clear"/>
          </w:tcPr>
          <w:p>
            <w:r>
              <w:rPr>
                <w:rFonts w:ascii="Calibri" w:hAnsi="Calibri"/>
                <w:b/>
                <w:color w:val="1B3A5C"/>
                <w:sz w:val="20"/>
              </w:rPr>
              <w:t>Policy Owner</w:t>
            </w:r>
          </w:p>
        </w:tc>
        <w:tc>
          <w:tcPr>
            <w:tcW w:type="dxa" w:w="6480"/>
          </w:tcPr>
          <w:p>
            <w:r>
              <w:rPr>
                <w:rFonts w:ascii="Calibri" w:hAnsi="Calibri"/>
                <w:color w:val="333333"/>
                <w:sz w:val="20"/>
              </w:rPr>
              <w:t>Chief Legal Officer</w:t>
            </w:r>
          </w:p>
        </w:tc>
      </w:tr>
      <w:tr>
        <w:tc>
          <w:tcPr>
            <w:tcW w:type="dxa" w:w="2880"/>
            <w:shd w:fill="E8EFF7" w:val="clear"/>
          </w:tcPr>
          <w:p>
            <w:r>
              <w:rPr>
                <w:rFonts w:ascii="Calibri" w:hAnsi="Calibri"/>
                <w:b/>
                <w:color w:val="1B3A5C"/>
                <w:sz w:val="20"/>
              </w:rPr>
              <w:t>Approved By</w:t>
            </w:r>
          </w:p>
        </w:tc>
        <w:tc>
          <w:tcPr>
            <w:tcW w:type="dxa" w:w="6480"/>
          </w:tcPr>
          <w:p>
            <w:r>
              <w:rPr>
                <w:rFonts w:ascii="Calibri" w:hAnsi="Calibri"/>
                <w:color w:val="333333"/>
                <w:sz w:val="20"/>
              </w:rPr>
              <w:t>CEO</w:t>
            </w:r>
          </w:p>
        </w:tc>
      </w:tr>
      <w:tr>
        <w:tc>
          <w:tcPr>
            <w:tcW w:type="dxa" w:w="2880"/>
            <w:shd w:fill="E8EFF7" w:val="clear"/>
          </w:tcPr>
          <w:p>
            <w:r>
              <w:rPr>
                <w:rFonts w:ascii="Calibri" w:hAnsi="Calibri"/>
                <w:b/>
                <w:color w:val="1B3A5C"/>
                <w:sz w:val="20"/>
              </w:rPr>
              <w:t>Effective Date</w:t>
            </w:r>
          </w:p>
        </w:tc>
        <w:tc>
          <w:tcPr>
            <w:tcW w:type="dxa" w:w="6480"/>
          </w:tcPr>
          <w:p>
            <w:r>
              <w:rPr>
                <w:rFonts w:ascii="Calibri" w:hAnsi="Calibri"/>
                <w:color w:val="333333"/>
                <w:sz w:val="20"/>
              </w:rPr>
              <w:t>15 March 2026</w:t>
            </w:r>
          </w:p>
        </w:tc>
      </w:tr>
      <w:tr>
        <w:tc>
          <w:tcPr>
            <w:tcW w:type="dxa" w:w="2880"/>
            <w:shd w:fill="E8EFF7" w:val="clear"/>
          </w:tcPr>
          <w:p>
            <w:r>
              <w:rPr>
                <w:rFonts w:ascii="Calibri" w:hAnsi="Calibri"/>
                <w:b/>
                <w:color w:val="1B3A5C"/>
                <w:sz w:val="20"/>
              </w:rPr>
              <w:t>Next Review Date</w:t>
            </w:r>
          </w:p>
        </w:tc>
        <w:tc>
          <w:tcPr>
            <w:tcW w:type="dxa" w:w="6480"/>
          </w:tcPr>
          <w:p>
            <w:r>
              <w:rPr>
                <w:rFonts w:ascii="Calibri" w:hAnsi="Calibri"/>
                <w:color w:val="333333"/>
                <w:sz w:val="20"/>
              </w:rPr>
              <w:t>15 March 2027</w:t>
            </w:r>
          </w:p>
        </w:tc>
      </w:tr>
      <w:tr>
        <w:tc>
          <w:tcPr>
            <w:tcW w:type="dxa" w:w="2880"/>
            <w:shd w:fill="E8EFF7" w:val="clear"/>
          </w:tcPr>
          <w:p>
            <w:r>
              <w:rPr>
                <w:rFonts w:ascii="Calibri" w:hAnsi="Calibri"/>
                <w:b/>
                <w:color w:val="1B3A5C"/>
                <w:sz w:val="20"/>
              </w:rPr>
              <w:t>Review Frequency</w:t>
            </w:r>
          </w:p>
        </w:tc>
        <w:tc>
          <w:tcPr>
            <w:tcW w:type="dxa" w:w="6480"/>
          </w:tcPr>
          <w:p>
            <w:r>
              <w:rPr>
                <w:rFonts w:ascii="Calibri" w:hAnsi="Calibri"/>
                <w:color w:val="333333"/>
                <w:sz w:val="20"/>
              </w:rPr>
              <w:t>Annual</w:t>
            </w:r>
          </w:p>
        </w:tc>
      </w:tr>
      <w:tr>
        <w:tc>
          <w:tcPr>
            <w:tcW w:type="dxa" w:w="2880"/>
            <w:shd w:fill="E8EFF7" w:val="clear"/>
          </w:tcPr>
          <w:p>
            <w:r>
              <w:rPr>
                <w:rFonts w:ascii="Calibri" w:hAnsi="Calibri"/>
                <w:b/>
                <w:color w:val="1B3A5C"/>
                <w:sz w:val="20"/>
              </w:rPr>
              <w:t>Applicable Employees</w:t>
            </w:r>
          </w:p>
        </w:tc>
        <w:tc>
          <w:tcPr>
            <w:tcW w:type="dxa" w:w="6480"/>
          </w:tcPr>
          <w:p>
            <w:r>
              <w:rPr>
                <w:rFonts w:ascii="Calibri" w:hAnsi="Calibri"/>
                <w:color w:val="333333"/>
                <w:sz w:val="20"/>
              </w:rPr>
              <w:t>All Employees globally</w:t>
            </w:r>
          </w:p>
        </w:tc>
      </w:tr>
      <w:tr>
        <w:tc>
          <w:tcPr>
            <w:tcW w:type="dxa" w:w="2880"/>
            <w:shd w:fill="E8EFF7" w:val="clear"/>
          </w:tcPr>
          <w:p>
            <w:r>
              <w:rPr>
                <w:rFonts w:ascii="Calibri" w:hAnsi="Calibri"/>
                <w:b/>
                <w:color w:val="1B3A5C"/>
                <w:sz w:val="20"/>
              </w:rPr>
              <w:t>Supersedes</w:t>
            </w:r>
          </w:p>
        </w:tc>
        <w:tc>
          <w:tcPr>
            <w:tcW w:type="dxa" w:w="6480"/>
          </w:tcPr>
          <w:p>
            <w:r>
              <w:rPr>
                <w:rFonts w:ascii="Calibri" w:hAnsi="Calibri"/>
                <w:color w:val="333333"/>
                <w:sz w:val="20"/>
              </w:rPr>
              <w:t>Version 1.2 (01 September 2025)</w:t>
            </w:r>
          </w:p>
        </w:tc>
      </w:tr>
      <w:tr>
        <w:tc>
          <w:tcPr>
            <w:tcW w:type="dxa" w:w="2880"/>
            <w:shd w:fill="E8EFF7" w:val="clear"/>
          </w:tcPr>
          <w:p>
            <w:r>
              <w:rPr>
                <w:rFonts w:ascii="Calibri" w:hAnsi="Calibri"/>
                <w:b/>
                <w:color w:val="1B3A5C"/>
                <w:sz w:val="20"/>
              </w:rPr>
              <w:t>Related Policies</w:t>
            </w:r>
          </w:p>
        </w:tc>
        <w:tc>
          <w:tcPr>
            <w:tcW w:type="dxa" w:w="6480"/>
          </w:tcPr>
          <w:p>
            <w:r>
              <w:rPr>
                <w:rFonts w:ascii="Calibri" w:hAnsi="Calibri"/>
                <w:color w:val="333333"/>
                <w:sz w:val="20"/>
              </w:rPr>
              <w:t>LEGAL-001, LEGAL-003, HR-002, FIN-003, FIN-004</w:t>
            </w:r>
          </w:p>
        </w:tc>
      </w:tr>
    </w:tbl>
    <w:p/>
    <w:p>
      <w:pPr>
        <w:pStyle w:val="Heading1"/>
      </w:pPr>
      <w:r>
        <w:t>Table of Contents</w:t>
      </w:r>
    </w:p>
    <w:p>
      <w:r>
        <w:rPr>
          <w:i/>
          <w:color w:val="666666"/>
          <w:sz w:val="18"/>
        </w:rPr>
        <w:t>[This Table of Contents is automatically generated when the document is opened in Microsoft Word. Right-click and select 'Update Field' to refresh.]</w:t>
      </w:r>
    </w:p>
    <w:p>
      <w:r>
        <w:fldChar w:fldCharType="begin"/>
      </w:r>
      <w:r>
        <w:instrText xml:space="preserve"> TOC \o "1-3" \h \z \u </w:instrText>
      </w:r>
      <w:r>
        <w:fldChar w:fldCharType="separate"/>
      </w:r>
      <w:r>
        <w:rPr>
          <w:color w:val="666666"/>
        </w:rPr>
        <w:t>(Update this field to see Table of Contents)</w:t>
      </w:r>
      <w:r>
        <w:fldChar w:fldCharType="end"/>
      </w:r>
    </w:p>
    <w:p>
      <w:r>
        <w:br w:type="page"/>
      </w:r>
    </w:p>
    <w:p>
      <w:pPr>
        <w:pStyle w:val="Heading1"/>
      </w:pPr>
      <w:r>
        <w:t>1. Conflict of Interest Definition</w:t>
      </w:r>
    </w:p>
    <w:p>
      <w:pPr/>
      <w:r>
        <w:t xml:space="preserve">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A conflict of interest occurs when personal interests interfere with the best interests of Vistara Global Systems. </w:t>
      </w:r>
    </w:p>
    <w:p>
      <w:pPr>
        <w:pStyle w:val="Heading1"/>
      </w:pPr>
      <w:r>
        <w:t>2. Types of Conflicts</w:t>
      </w:r>
    </w:p>
    <w:p>
      <w:pPr>
        <w:pStyle w:val="ListBullet"/>
      </w:pPr>
      <w:r>
        <w:t>Financial Interests: Owning &gt;5% of a competitor or vendor.</w:t>
      </w:r>
    </w:p>
    <w:p>
      <w:pPr>
        <w:pStyle w:val="ListBullet"/>
      </w:pPr>
      <w:r>
        <w:t>Outside Employment: Second jobs or consulting.</w:t>
      </w:r>
    </w:p>
    <w:p>
      <w:pPr>
        <w:pStyle w:val="ListBullet"/>
      </w:pPr>
      <w:r>
        <w:t>Family Relationships: Reporting to a family member.</w:t>
      </w:r>
    </w:p>
    <w:p>
      <w:pPr>
        <w:pStyle w:val="ListBullet"/>
      </w:pPr>
      <w:r>
        <w:t>Board Memberships: Serving on external boards (requires CEO approval).</w:t>
      </w:r>
    </w:p>
    <w:p>
      <w:pPr>
        <w:pStyle w:val="ListBullet"/>
      </w:pPr>
      <w:r>
        <w:t>Financial Interests: Owning &gt;5% of a competitor or vendor.</w:t>
      </w:r>
    </w:p>
    <w:p>
      <w:pPr>
        <w:pStyle w:val="ListBullet"/>
      </w:pPr>
      <w:r>
        <w:t>Outside Employment: Second jobs or consulting.</w:t>
      </w:r>
    </w:p>
    <w:p>
      <w:pPr>
        <w:pStyle w:val="ListBullet"/>
      </w:pPr>
      <w:r>
        <w:t>Family Relationships: Reporting to a family member.</w:t>
      </w:r>
    </w:p>
    <w:p>
      <w:pPr>
        <w:pStyle w:val="ListBullet"/>
      </w:pPr>
      <w:r>
        <w:t>Board Memberships: Serving on external boards (requires CEO approval).</w:t>
      </w:r>
    </w:p>
    <w:p>
      <w:pPr>
        <w:pStyle w:val="ListBullet"/>
      </w:pPr>
      <w:r>
        <w:t>Financial Interests: Owning &gt;5% of a competitor or vendor.</w:t>
      </w:r>
    </w:p>
    <w:p>
      <w:pPr>
        <w:pStyle w:val="ListBullet"/>
      </w:pPr>
      <w:r>
        <w:t>Outside Employment: Second jobs or consulting.</w:t>
      </w:r>
    </w:p>
    <w:p>
      <w:pPr>
        <w:pStyle w:val="ListBullet"/>
      </w:pPr>
      <w:r>
        <w:t>Family Relationships: Reporting to a family member.</w:t>
      </w:r>
    </w:p>
    <w:p>
      <w:pPr>
        <w:pStyle w:val="ListBullet"/>
      </w:pPr>
      <w:r>
        <w:t>Board Memberships: Serving on external boards (requires CEO approval).</w:t>
      </w:r>
    </w:p>
    <w:p>
      <w:pPr>
        <w:pStyle w:val="ListBullet"/>
      </w:pPr>
      <w:r>
        <w:t>Financial Interests: Owning &gt;5% of a competitor or vendor.</w:t>
      </w:r>
    </w:p>
    <w:p>
      <w:pPr>
        <w:pStyle w:val="ListBullet"/>
      </w:pPr>
      <w:r>
        <w:t>Outside Employment: Second jobs or consulting.</w:t>
      </w:r>
    </w:p>
    <w:p>
      <w:pPr>
        <w:pStyle w:val="ListBullet"/>
      </w:pPr>
      <w:r>
        <w:t>Family Relationships: Reporting to a family member.</w:t>
      </w:r>
    </w:p>
    <w:p>
      <w:pPr>
        <w:pStyle w:val="ListBullet"/>
      </w:pPr>
      <w:r>
        <w:t>Board Memberships: Serving on external boards (requires CEO approval).</w:t>
      </w:r>
    </w:p>
    <w:p>
      <w:pPr>
        <w:pStyle w:val="ListBullet"/>
      </w:pPr>
      <w:r>
        <w:t>Financial Interests: Owning &gt;5% of a competitor or vendor.</w:t>
      </w:r>
    </w:p>
    <w:p>
      <w:pPr>
        <w:pStyle w:val="ListBullet"/>
      </w:pPr>
      <w:r>
        <w:t>Outside Employment: Second jobs or consulting.</w:t>
      </w:r>
    </w:p>
    <w:p>
      <w:pPr>
        <w:pStyle w:val="ListBullet"/>
      </w:pPr>
      <w:r>
        <w:t>Family Relationships: Reporting to a family member.</w:t>
      </w:r>
    </w:p>
    <w:p>
      <w:pPr>
        <w:pStyle w:val="ListBullet"/>
      </w:pPr>
      <w:r>
        <w:t>Board Memberships: Serving on external boards (requires CEO approval).</w:t>
      </w:r>
    </w:p>
    <w:p>
      <w:pPr>
        <w:pStyle w:val="Heading1"/>
      </w:pPr>
      <w:r>
        <w:t>3. Disclosure and Evaluation Process</w:t>
      </w:r>
    </w:p>
    <w:p>
      <w:pPr/>
      <w:r>
        <w:t xml:space="preserve">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All potential conflicts must be disclosed via the annual disclosure form, or within 5 business days of a triggering event. </w:t>
      </w:r>
    </w:p>
    <w:p>
      <w:pPr>
        <w:pStyle w:val="Heading1"/>
      </w:pPr>
      <w:r>
        <w:t>4. Management Strategies</w:t>
      </w:r>
    </w:p>
    <w:p>
      <w:pPr/>
      <w:r>
        <w:t xml:space="preserve">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Strategies include recusal, reassignment, enhanced oversight, or divestiture. </w:t>
      </w:r>
    </w:p>
    <w:p>
      <w:pPr>
        <w:pStyle w:val="Heading1"/>
      </w:pPr>
      <w:r>
        <w:t>5. Post-Employment Obligations</w:t>
      </w:r>
    </w:p>
    <w:p>
      <w:pPr/>
      <w:r>
        <w:t xml:space="preserve">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Non-compete for 12 months for senior roles. Non-solicitation for 24 months. </w:t>
      </w:r>
    </w:p>
    <w:p>
      <w:pPr>
        <w:pStyle w:val="Heading1"/>
      </w:pPr>
      <w:r>
        <w:t>6. Scenarios</w:t>
      </w:r>
    </w:p>
    <w:p>
      <w:pPr>
        <w:pStyle w:val="Heading3"/>
      </w:pPr>
      <w:r>
        <w:t>Scenario 1: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2: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3: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4: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5: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6: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7: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8: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9: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3"/>
      </w:pPr>
      <w:r>
        <w:t>Scenario 10: Vendor Selection</w:t>
      </w:r>
    </w:p>
    <w:p>
      <w:r>
        <w:rPr>
          <w:b/>
          <w:color w:val="1B3A5C"/>
        </w:rPr>
        <w:t xml:space="preserve">Situation: </w:t>
      </w:r>
      <w:r>
        <w:t>Your spouse works for a vendor bidding on a Vistara contract.</w:t>
      </w:r>
    </w:p>
    <w:p>
      <w:r>
        <w:rPr>
          <w:b/>
          <w:color w:val="1B3A5C"/>
        </w:rPr>
        <w:t xml:space="preserve">Relevant Requirements: </w:t>
      </w:r>
      <w:r>
        <w:t>Must disclose relationship; cannot participate in selection.</w:t>
      </w:r>
    </w:p>
    <w:p>
      <w:r>
        <w:rPr>
          <w:b/>
          <w:color w:val="1B3A5C"/>
        </w:rPr>
        <w:t xml:space="preserve">Expected Process: </w:t>
      </w:r>
      <w:r>
        <w:t>Submit disclosure form; manager reassigns selection duties.</w:t>
      </w:r>
    </w:p>
    <w:p>
      <w:r>
        <w:rPr>
          <w:b/>
          <w:color w:val="1B3A5C"/>
        </w:rPr>
        <w:t xml:space="preserve">Outcome: </w:t>
      </w:r>
      <w:r>
        <w:t>Conflict mitigated through recusal.</w:t>
      </w:r>
    </w:p>
    <w:p/>
    <w:p>
      <w:pPr>
        <w:pStyle w:val="Heading1"/>
      </w:pPr>
      <w:r>
        <w:t>7. Frequently Asked Questions (FAQs)</w:t>
      </w:r>
    </w:p>
    <w:p>
      <w:r>
        <w:rPr>
          <w:rFonts w:ascii="Calibri" w:hAnsi="Calibri"/>
          <w:b/>
          <w:color w:val="1B3A5C"/>
          <w:sz w:val="22"/>
        </w:rPr>
        <w:t>Q: Can I start a side business? (Variation 1)</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2)</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3)</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4)</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5)</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6)</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7)</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8)</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9)</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10)</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11)</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12)</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13)</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14)</w:t>
      </w:r>
    </w:p>
    <w:p>
      <w:pPr>
        <w:spacing w:after="240"/>
      </w:pPr>
      <w:r>
        <w:rPr>
          <w:rFonts w:ascii="Calibri" w:hAnsi="Calibri"/>
          <w:color w:val="333333"/>
          <w:sz w:val="22"/>
        </w:rPr>
        <w:t>A: Yes, if it does not compete with Vistara, uses no company resources, and is approved by your manager and HR.</w:t>
      </w:r>
    </w:p>
    <w:p>
      <w:r>
        <w:rPr>
          <w:rFonts w:ascii="Calibri" w:hAnsi="Calibri"/>
          <w:b/>
          <w:color w:val="1B3A5C"/>
          <w:sz w:val="22"/>
        </w:rPr>
        <w:t>Q: Can I start a side business? (Variation 15)</w:t>
      </w:r>
    </w:p>
    <w:p>
      <w:pPr>
        <w:spacing w:after="240"/>
      </w:pPr>
      <w:r>
        <w:rPr>
          <w:rFonts w:ascii="Calibri" w:hAnsi="Calibri"/>
          <w:color w:val="333333"/>
          <w:sz w:val="22"/>
        </w:rPr>
        <w:t>A: Yes, if it does not compete with Vistara, uses no company resources, and is approved by your manager and HR.</w:t>
      </w:r>
    </w:p>
    <w:p>
      <w:pPr>
        <w:pStyle w:val="Heading1"/>
      </w:pPr>
      <w:r>
        <w:t>8. Enforcement and Disciplinary Action</w:t>
      </w:r>
    </w:p>
    <w:p>
      <w:pPr/>
      <w:r>
        <w:t>Violations of this policy are taken extremely seriously by Vistara Global Systems. Enforcement of this policy will be strict and swift, ensuring that all employees, regardless of rank or position, are held to the same standard.</w:t>
      </w:r>
    </w:p>
    <w:p>
      <w:pPr>
        <w:pStyle w:val="ListBullet"/>
      </w:pPr>
      <w:r>
        <w:t>Immediate suspension pending investigation for severe allegations.</w:t>
      </w:r>
    </w:p>
    <w:p>
      <w:pPr>
        <w:pStyle w:val="ListBullet"/>
      </w:pPr>
      <w:r>
        <w:t>Formal written warnings for minor, non-malicious infractions.</w:t>
      </w:r>
    </w:p>
    <w:p>
      <w:pPr>
        <w:pStyle w:val="ListBullet"/>
      </w:pPr>
      <w:r>
        <w:t>Termination of employment for material breaches.</w:t>
      </w:r>
    </w:p>
    <w:p>
      <w:pPr>
        <w:pStyle w:val="ListBullet"/>
      </w:pPr>
      <w:r>
        <w:t>Referral to law enforcement and regulatory bodies where applicable.</w:t>
      </w:r>
    </w:p>
    <w:p>
      <w:pPr>
        <w:pStyle w:val="ListBullet"/>
      </w:pPr>
      <w:r>
        <w:t>Civil litigation to recover damages caused by the breach.</w:t>
      </w:r>
    </w:p>
    <w:p>
      <w:pPr>
        <w:pStyle w:val="Heading2"/>
      </w:pPr>
      <w:r>
        <w:t>8.1 Enforcement Phase 1: Initial Assessment</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8.2 Enforcement Phase 2: Evidence Gathering</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8.3 Enforcement Phase 3: Formal Review</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8.4 Enforcement Phase 4: Disciplinary Committee</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2"/>
      </w:pPr>
      <w:r>
        <w:t>8.5 Enforcement Phase 5: Final Resolution</w:t>
      </w:r>
    </w:p>
    <w:p>
      <w:pPr/>
      <w:r>
        <w:t xml:space="preserve">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This phase involves a meticulous review process. Vistara Global Systems assigns dedicated compliance officers to oversee the progression. </w:t>
      </w:r>
    </w:p>
    <w:p>
      <w:pPr>
        <w:pStyle w:val="Heading1"/>
      </w:pPr>
      <w:r>
        <w:t>9. Revision History</w:t>
      </w:r>
    </w:p>
    <w:p>
      <w:pPr>
        <w:pStyle w:val="Heading1"/>
      </w:pPr>
      <w:r>
        <w:t>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152"/>
            <w:shd w:fill="1B3A5C" w:val="clear"/>
          </w:tcPr>
          <w:p>
            <w:pPr>
              <w:jc w:val="center"/>
            </w:pPr>
            <w:r>
              <w:rPr>
                <w:rFonts w:ascii="Calibri" w:hAnsi="Calibri"/>
                <w:b/>
                <w:color w:val="FFFFFF"/>
                <w:sz w:val="20"/>
              </w:rPr>
              <w:t>Version</w:t>
            </w:r>
          </w:p>
        </w:tc>
        <w:tc>
          <w:tcPr>
            <w:tcW w:type="dxa" w:w="1872"/>
            <w:shd w:fill="1B3A5C" w:val="clear"/>
          </w:tcPr>
          <w:p>
            <w:pPr>
              <w:jc w:val="center"/>
            </w:pPr>
            <w:r>
              <w:rPr>
                <w:rFonts w:ascii="Calibri" w:hAnsi="Calibri"/>
                <w:b/>
                <w:color w:val="FFFFFF"/>
                <w:sz w:val="20"/>
              </w:rPr>
              <w:t>Effective Date</w:t>
            </w:r>
          </w:p>
        </w:tc>
        <w:tc>
          <w:tcPr>
            <w:tcW w:type="dxa" w:w="2160"/>
            <w:shd w:fill="1B3A5C" w:val="clear"/>
          </w:tcPr>
          <w:p>
            <w:pPr>
              <w:jc w:val="center"/>
            </w:pPr>
            <w:r>
              <w:rPr>
                <w:rFonts w:ascii="Calibri" w:hAnsi="Calibri"/>
                <w:b/>
                <w:color w:val="FFFFFF"/>
                <w:sz w:val="20"/>
              </w:rPr>
              <w:t>Author / Function</w:t>
            </w:r>
          </w:p>
        </w:tc>
        <w:tc>
          <w:tcPr>
            <w:tcW w:type="dxa" w:w="4320"/>
            <w:shd w:fill="1B3A5C" w:val="clear"/>
          </w:tcPr>
          <w:p>
            <w:pPr>
              <w:jc w:val="center"/>
            </w:pPr>
            <w:r>
              <w:rPr>
                <w:rFonts w:ascii="Calibri" w:hAnsi="Calibri"/>
                <w:b/>
                <w:color w:val="FFFFFF"/>
                <w:sz w:val="20"/>
              </w:rPr>
              <w:t>Description</w:t>
            </w:r>
          </w:p>
        </w:tc>
      </w:tr>
      <w:tr>
        <w:tc>
          <w:tcPr>
            <w:tcW w:type="dxa" w:w="1152"/>
          </w:tcPr>
          <w:p>
            <w:r>
              <w:rPr>
                <w:rFonts w:ascii="Calibri" w:hAnsi="Calibri"/>
                <w:color w:val="333333"/>
                <w:sz w:val="18"/>
              </w:rPr>
              <w:t>1.3</w:t>
            </w:r>
          </w:p>
        </w:tc>
        <w:tc>
          <w:tcPr>
            <w:tcW w:type="dxa" w:w="1872"/>
          </w:tcPr>
          <w:p>
            <w:r>
              <w:rPr>
                <w:rFonts w:ascii="Calibri" w:hAnsi="Calibri"/>
                <w:color w:val="333333"/>
                <w:sz w:val="18"/>
              </w:rPr>
              <w:t>15 Mar 2026</w:t>
            </w:r>
          </w:p>
        </w:tc>
        <w:tc>
          <w:tcPr>
            <w:tcW w:type="dxa" w:w="2160"/>
          </w:tcPr>
          <w:p>
            <w:r>
              <w:rPr>
                <w:rFonts w:ascii="Calibri" w:hAnsi="Calibri"/>
                <w:color w:val="333333"/>
                <w:sz w:val="18"/>
              </w:rPr>
              <w:t>Chief Legal Officer</w:t>
            </w:r>
          </w:p>
        </w:tc>
        <w:tc>
          <w:tcPr>
            <w:tcW w:type="dxa" w:w="4320"/>
          </w:tcPr>
          <w:p>
            <w:r>
              <w:rPr>
                <w:rFonts w:ascii="Calibri" w:hAnsi="Calibri"/>
                <w:color w:val="333333"/>
                <w:sz w:val="18"/>
              </w:rPr>
              <w:t>Annual review and updates</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Vistara Global Systems — Internal — LEGAL-002</w:t>
    </w:r>
    <w:r>
      <w:rPr>
        <w:rFonts w:ascii="Calibri" w:hAnsi="Calibri"/>
        <w:color w:val="666666"/>
        <w:sz w:val="16"/>
      </w:rPr>
      <w:t xml:space="preserve">    |    Page </w:t>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