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Gifts and Entertainment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LEGAL-003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LEGAL-003</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Gifts and Entertainment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2.1</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CFO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April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2.0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LEGAL-001, LEGAL-002, HR-002, FIN-001</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Policy Overview</w:t>
      </w:r>
    </w:p>
    <w:p>
      <w:pPr/>
      <w:r>
        <w:t xml:space="preserve">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Gifts and entertainment can build goodwill but must never improperly influence business decisions. </w:t>
      </w:r>
    </w:p>
    <w:p>
      <w:pPr>
        <w:pStyle w:val="Heading1"/>
      </w:pPr>
      <w:r>
        <w:t>2. Gift Thresholds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Category</w:t>
            </w:r>
          </w:p>
        </w:tc>
        <w:tc>
          <w:tcPr>
            <w:tcW w:type="dxa" w:w="3120"/>
            <w:shd w:fill="1B3A5C" w:val="clear"/>
          </w:tcPr>
          <w:p>
            <w:pPr>
              <w:jc w:val="center"/>
            </w:pPr>
            <w:r>
              <w:rPr>
                <w:rFonts w:ascii="Calibri" w:hAnsi="Calibri"/>
                <w:b/>
                <w:color w:val="FFFFFF"/>
                <w:sz w:val="20"/>
              </w:rPr>
              <w:t>Threshold</w:t>
            </w:r>
          </w:p>
        </w:tc>
        <w:tc>
          <w:tcPr>
            <w:tcW w:type="dxa" w:w="3120"/>
            <w:shd w:fill="1B3A5C" w:val="clear"/>
          </w:tcPr>
          <w:p>
            <w:pPr>
              <w:jc w:val="center"/>
            </w:pPr>
            <w:r>
              <w:rPr>
                <w:rFonts w:ascii="Calibri" w:hAnsi="Calibri"/>
                <w:b/>
                <w:color w:val="FFFFFF"/>
                <w:sz w:val="20"/>
              </w:rPr>
              <w:t>Approval Required</w:t>
            </w:r>
          </w:p>
        </w:tc>
      </w:tr>
      <w:tr>
        <w:tc>
          <w:tcPr>
            <w:tcW w:type="dxa" w:w="3120"/>
          </w:tcPr>
          <w:p>
            <w:r>
              <w:rPr>
                <w:rFonts w:ascii="Calibri" w:hAnsi="Calibri"/>
                <w:color w:val="333333"/>
                <w:sz w:val="18"/>
              </w:rPr>
              <w:t>Receiving</w:t>
            </w:r>
          </w:p>
        </w:tc>
        <w:tc>
          <w:tcPr>
            <w:tcW w:type="dxa" w:w="3120"/>
          </w:tcPr>
          <w:p>
            <w:r>
              <w:rPr>
                <w:rFonts w:ascii="Calibri" w:hAnsi="Calibri"/>
                <w:color w:val="333333"/>
                <w:sz w:val="18"/>
              </w:rPr>
              <w:t>≤₹2,000</w:t>
            </w:r>
          </w:p>
        </w:tc>
        <w:tc>
          <w:tcPr>
            <w:tcW w:type="dxa" w:w="3120"/>
          </w:tcPr>
          <w:p>
            <w:r>
              <w:rPr>
                <w:rFonts w:ascii="Calibri" w:hAnsi="Calibri"/>
                <w:color w:val="333333"/>
                <w:sz w:val="18"/>
              </w:rPr>
              <w:t>None (log in register)</w:t>
            </w:r>
          </w:p>
        </w:tc>
      </w:tr>
      <w:tr>
        <w:tc>
          <w:tcPr>
            <w:tcW w:type="dxa" w:w="3120"/>
            <w:shd w:fill="F2F6FA" w:val="clear"/>
          </w:tcPr>
          <w:p>
            <w:r>
              <w:rPr>
                <w:rFonts w:ascii="Calibri" w:hAnsi="Calibri"/>
                <w:color w:val="333333"/>
                <w:sz w:val="18"/>
              </w:rPr>
              <w:t>Receiving</w:t>
            </w:r>
          </w:p>
        </w:tc>
        <w:tc>
          <w:tcPr>
            <w:tcW w:type="dxa" w:w="3120"/>
            <w:shd w:fill="F2F6FA" w:val="clear"/>
          </w:tcPr>
          <w:p>
            <w:r>
              <w:rPr>
                <w:rFonts w:ascii="Calibri" w:hAnsi="Calibri"/>
                <w:color w:val="333333"/>
                <w:sz w:val="18"/>
              </w:rPr>
              <w:t>₹2,001-₹5,000</w:t>
            </w:r>
          </w:p>
        </w:tc>
        <w:tc>
          <w:tcPr>
            <w:tcW w:type="dxa" w:w="3120"/>
            <w:shd w:fill="F2F6FA" w:val="clear"/>
          </w:tcPr>
          <w:p>
            <w:r>
              <w:rPr>
                <w:rFonts w:ascii="Calibri" w:hAnsi="Calibri"/>
                <w:color w:val="333333"/>
                <w:sz w:val="18"/>
              </w:rPr>
              <w:t>Manager + Legal Notification</w:t>
            </w:r>
          </w:p>
        </w:tc>
      </w:tr>
      <w:tr>
        <w:tc>
          <w:tcPr>
            <w:tcW w:type="dxa" w:w="3120"/>
          </w:tcPr>
          <w:p>
            <w:r>
              <w:rPr>
                <w:rFonts w:ascii="Calibri" w:hAnsi="Calibri"/>
                <w:color w:val="333333"/>
                <w:sz w:val="18"/>
              </w:rPr>
              <w:t>Receiving</w:t>
            </w:r>
          </w:p>
        </w:tc>
        <w:tc>
          <w:tcPr>
            <w:tcW w:type="dxa" w:w="3120"/>
          </w:tcPr>
          <w:p>
            <w:r>
              <w:rPr>
                <w:rFonts w:ascii="Calibri" w:hAnsi="Calibri"/>
                <w:color w:val="333333"/>
                <w:sz w:val="18"/>
              </w:rPr>
              <w:t>&gt;₹5,000</w:t>
            </w:r>
          </w:p>
        </w:tc>
        <w:tc>
          <w:tcPr>
            <w:tcW w:type="dxa" w:w="3120"/>
          </w:tcPr>
          <w:p>
            <w:r>
              <w:rPr>
                <w:rFonts w:ascii="Calibri" w:hAnsi="Calibri"/>
                <w:color w:val="333333"/>
                <w:sz w:val="18"/>
              </w:rPr>
              <w:t>Prohibited (Return/Donate)</w:t>
            </w:r>
          </w:p>
        </w:tc>
      </w:tr>
      <w:tr>
        <w:tc>
          <w:tcPr>
            <w:tcW w:type="dxa" w:w="3120"/>
            <w:shd w:fill="F2F6FA" w:val="clear"/>
          </w:tcPr>
          <w:p>
            <w:r>
              <w:rPr>
                <w:rFonts w:ascii="Calibri" w:hAnsi="Calibri"/>
                <w:color w:val="333333"/>
                <w:sz w:val="18"/>
              </w:rPr>
              <w:t>Giving</w:t>
            </w:r>
          </w:p>
        </w:tc>
        <w:tc>
          <w:tcPr>
            <w:tcW w:type="dxa" w:w="3120"/>
            <w:shd w:fill="F2F6FA" w:val="clear"/>
          </w:tcPr>
          <w:p>
            <w:r>
              <w:rPr>
                <w:rFonts w:ascii="Calibri" w:hAnsi="Calibri"/>
                <w:color w:val="333333"/>
                <w:sz w:val="18"/>
              </w:rPr>
              <w:t>≤₹3,000</w:t>
            </w:r>
          </w:p>
        </w:tc>
        <w:tc>
          <w:tcPr>
            <w:tcW w:type="dxa" w:w="3120"/>
            <w:shd w:fill="F2F6FA" w:val="clear"/>
          </w:tcPr>
          <w:p>
            <w:r>
              <w:rPr>
                <w:rFonts w:ascii="Calibri" w:hAnsi="Calibri"/>
                <w:color w:val="333333"/>
                <w:sz w:val="18"/>
              </w:rPr>
              <w:t>Manager</w:t>
            </w:r>
          </w:p>
        </w:tc>
      </w:tr>
      <w:tr>
        <w:tc>
          <w:tcPr>
            <w:tcW w:type="dxa" w:w="3120"/>
          </w:tcPr>
          <w:p>
            <w:r>
              <w:rPr>
                <w:rFonts w:ascii="Calibri" w:hAnsi="Calibri"/>
                <w:color w:val="333333"/>
                <w:sz w:val="18"/>
              </w:rPr>
              <w:t>Giving</w:t>
            </w:r>
          </w:p>
        </w:tc>
        <w:tc>
          <w:tcPr>
            <w:tcW w:type="dxa" w:w="3120"/>
          </w:tcPr>
          <w:p>
            <w:r>
              <w:rPr>
                <w:rFonts w:ascii="Calibri" w:hAnsi="Calibri"/>
                <w:color w:val="333333"/>
                <w:sz w:val="18"/>
              </w:rPr>
              <w:t>₹3,001-₹10,000</w:t>
            </w:r>
          </w:p>
        </w:tc>
        <w:tc>
          <w:tcPr>
            <w:tcW w:type="dxa" w:w="3120"/>
          </w:tcPr>
          <w:p>
            <w:r>
              <w:rPr>
                <w:rFonts w:ascii="Calibri" w:hAnsi="Calibri"/>
                <w:color w:val="333333"/>
                <w:sz w:val="18"/>
              </w:rPr>
              <w:t>Department Head + Legal</w:t>
            </w:r>
          </w:p>
        </w:tc>
      </w:tr>
      <w:tr>
        <w:tc>
          <w:tcPr>
            <w:tcW w:type="dxa" w:w="3120"/>
            <w:shd w:fill="F2F6FA" w:val="clear"/>
          </w:tcPr>
          <w:p>
            <w:r>
              <w:rPr>
                <w:rFonts w:ascii="Calibri" w:hAnsi="Calibri"/>
                <w:color w:val="333333"/>
                <w:sz w:val="18"/>
              </w:rPr>
              <w:t>Giving</w:t>
            </w:r>
          </w:p>
        </w:tc>
        <w:tc>
          <w:tcPr>
            <w:tcW w:type="dxa" w:w="3120"/>
            <w:shd w:fill="F2F6FA" w:val="clear"/>
          </w:tcPr>
          <w:p>
            <w:r>
              <w:rPr>
                <w:rFonts w:ascii="Calibri" w:hAnsi="Calibri"/>
                <w:color w:val="333333"/>
                <w:sz w:val="18"/>
              </w:rPr>
              <w:t>&gt;₹10,000</w:t>
            </w:r>
          </w:p>
        </w:tc>
        <w:tc>
          <w:tcPr>
            <w:tcW w:type="dxa" w:w="3120"/>
            <w:shd w:fill="F2F6FA" w:val="clear"/>
          </w:tcPr>
          <w:p>
            <w:r>
              <w:rPr>
                <w:rFonts w:ascii="Calibri" w:hAnsi="Calibri"/>
                <w:color w:val="333333"/>
                <w:sz w:val="18"/>
              </w:rPr>
              <w:t>CFO + Legal</w:t>
            </w:r>
          </w:p>
        </w:tc>
      </w:tr>
      <w:tr>
        <w:tc>
          <w:tcPr>
            <w:tcW w:type="dxa" w:w="3120"/>
          </w:tcPr>
          <w:p>
            <w:r>
              <w:rPr>
                <w:rFonts w:ascii="Calibri" w:hAnsi="Calibri"/>
                <w:color w:val="333333"/>
                <w:sz w:val="18"/>
              </w:rPr>
              <w:t>Cash</w:t>
            </w:r>
          </w:p>
        </w:tc>
        <w:tc>
          <w:tcPr>
            <w:tcW w:type="dxa" w:w="3120"/>
          </w:tcPr>
          <w:p>
            <w:r>
              <w:rPr>
                <w:rFonts w:ascii="Calibri" w:hAnsi="Calibri"/>
                <w:color w:val="333333"/>
                <w:sz w:val="18"/>
              </w:rPr>
              <w:t>Any</w:t>
            </w:r>
          </w:p>
        </w:tc>
        <w:tc>
          <w:tcPr>
            <w:tcW w:type="dxa" w:w="3120"/>
          </w:tcPr>
          <w:p>
            <w:r>
              <w:rPr>
                <w:rFonts w:ascii="Calibri" w:hAnsi="Calibri"/>
                <w:color w:val="333333"/>
                <w:sz w:val="18"/>
              </w:rPr>
              <w:t>Strictly Prohibited</w:t>
            </w:r>
          </w:p>
        </w:tc>
      </w:tr>
      <w:tr>
        <w:tc>
          <w:tcPr>
            <w:tcW w:type="dxa" w:w="3120"/>
            <w:shd w:fill="F2F6FA" w:val="clear"/>
          </w:tcPr>
          <w:p>
            <w:r>
              <w:rPr>
                <w:rFonts w:ascii="Calibri" w:hAnsi="Calibri"/>
                <w:color w:val="333333"/>
                <w:sz w:val="18"/>
              </w:rPr>
              <w:t>Gov Officials</w:t>
            </w:r>
          </w:p>
        </w:tc>
        <w:tc>
          <w:tcPr>
            <w:tcW w:type="dxa" w:w="3120"/>
            <w:shd w:fill="F2F6FA" w:val="clear"/>
          </w:tcPr>
          <w:p>
            <w:r>
              <w:rPr>
                <w:rFonts w:ascii="Calibri" w:hAnsi="Calibri"/>
                <w:color w:val="333333"/>
                <w:sz w:val="18"/>
              </w:rPr>
              <w:t>Any</w:t>
            </w:r>
          </w:p>
        </w:tc>
        <w:tc>
          <w:tcPr>
            <w:tcW w:type="dxa" w:w="3120"/>
            <w:shd w:fill="F2F6FA" w:val="clear"/>
          </w:tcPr>
          <w:p>
            <w:r>
              <w:rPr>
                <w:rFonts w:ascii="Calibri" w:hAnsi="Calibri"/>
                <w:color w:val="333333"/>
                <w:sz w:val="18"/>
              </w:rPr>
              <w:t>Legal Approval Required</w:t>
            </w:r>
          </w:p>
        </w:tc>
      </w:tr>
      <w:tr>
        <w:tc>
          <w:tcPr>
            <w:tcW w:type="dxa" w:w="3120"/>
          </w:tcPr>
          <w:p>
            <w:r>
              <w:rPr>
                <w:rFonts w:ascii="Calibri" w:hAnsi="Calibri"/>
                <w:color w:val="333333"/>
                <w:sz w:val="18"/>
              </w:rPr>
              <w:t>Receiving</w:t>
            </w:r>
          </w:p>
        </w:tc>
        <w:tc>
          <w:tcPr>
            <w:tcW w:type="dxa" w:w="3120"/>
          </w:tcPr>
          <w:p>
            <w:r>
              <w:rPr>
                <w:rFonts w:ascii="Calibri" w:hAnsi="Calibri"/>
                <w:color w:val="333333"/>
                <w:sz w:val="18"/>
              </w:rPr>
              <w:t>≤₹2,000</w:t>
            </w:r>
          </w:p>
        </w:tc>
        <w:tc>
          <w:tcPr>
            <w:tcW w:type="dxa" w:w="3120"/>
          </w:tcPr>
          <w:p>
            <w:r>
              <w:rPr>
                <w:rFonts w:ascii="Calibri" w:hAnsi="Calibri"/>
                <w:color w:val="333333"/>
                <w:sz w:val="18"/>
              </w:rPr>
              <w:t>None (log in register)</w:t>
            </w:r>
          </w:p>
        </w:tc>
      </w:tr>
      <w:tr>
        <w:tc>
          <w:tcPr>
            <w:tcW w:type="dxa" w:w="3120"/>
            <w:shd w:fill="F2F6FA" w:val="clear"/>
          </w:tcPr>
          <w:p>
            <w:r>
              <w:rPr>
                <w:rFonts w:ascii="Calibri" w:hAnsi="Calibri"/>
                <w:color w:val="333333"/>
                <w:sz w:val="18"/>
              </w:rPr>
              <w:t>Receiving</w:t>
            </w:r>
          </w:p>
        </w:tc>
        <w:tc>
          <w:tcPr>
            <w:tcW w:type="dxa" w:w="3120"/>
            <w:shd w:fill="F2F6FA" w:val="clear"/>
          </w:tcPr>
          <w:p>
            <w:r>
              <w:rPr>
                <w:rFonts w:ascii="Calibri" w:hAnsi="Calibri"/>
                <w:color w:val="333333"/>
                <w:sz w:val="18"/>
              </w:rPr>
              <w:t>₹2,001-₹5,000</w:t>
            </w:r>
          </w:p>
        </w:tc>
        <w:tc>
          <w:tcPr>
            <w:tcW w:type="dxa" w:w="3120"/>
            <w:shd w:fill="F2F6FA" w:val="clear"/>
          </w:tcPr>
          <w:p>
            <w:r>
              <w:rPr>
                <w:rFonts w:ascii="Calibri" w:hAnsi="Calibri"/>
                <w:color w:val="333333"/>
                <w:sz w:val="18"/>
              </w:rPr>
              <w:t>Manager + Legal Notification</w:t>
            </w:r>
          </w:p>
        </w:tc>
      </w:tr>
      <w:tr>
        <w:tc>
          <w:tcPr>
            <w:tcW w:type="dxa" w:w="3120"/>
          </w:tcPr>
          <w:p>
            <w:r>
              <w:rPr>
                <w:rFonts w:ascii="Calibri" w:hAnsi="Calibri"/>
                <w:color w:val="333333"/>
                <w:sz w:val="18"/>
              </w:rPr>
              <w:t>Receiving</w:t>
            </w:r>
          </w:p>
        </w:tc>
        <w:tc>
          <w:tcPr>
            <w:tcW w:type="dxa" w:w="3120"/>
          </w:tcPr>
          <w:p>
            <w:r>
              <w:rPr>
                <w:rFonts w:ascii="Calibri" w:hAnsi="Calibri"/>
                <w:color w:val="333333"/>
                <w:sz w:val="18"/>
              </w:rPr>
              <w:t>&gt;₹5,000</w:t>
            </w:r>
          </w:p>
        </w:tc>
        <w:tc>
          <w:tcPr>
            <w:tcW w:type="dxa" w:w="3120"/>
          </w:tcPr>
          <w:p>
            <w:r>
              <w:rPr>
                <w:rFonts w:ascii="Calibri" w:hAnsi="Calibri"/>
                <w:color w:val="333333"/>
                <w:sz w:val="18"/>
              </w:rPr>
              <w:t>Prohibited (Return/Donate)</w:t>
            </w:r>
          </w:p>
        </w:tc>
      </w:tr>
      <w:tr>
        <w:tc>
          <w:tcPr>
            <w:tcW w:type="dxa" w:w="3120"/>
            <w:shd w:fill="F2F6FA" w:val="clear"/>
          </w:tcPr>
          <w:p>
            <w:r>
              <w:rPr>
                <w:rFonts w:ascii="Calibri" w:hAnsi="Calibri"/>
                <w:color w:val="333333"/>
                <w:sz w:val="18"/>
              </w:rPr>
              <w:t>Giving</w:t>
            </w:r>
          </w:p>
        </w:tc>
        <w:tc>
          <w:tcPr>
            <w:tcW w:type="dxa" w:w="3120"/>
            <w:shd w:fill="F2F6FA" w:val="clear"/>
          </w:tcPr>
          <w:p>
            <w:r>
              <w:rPr>
                <w:rFonts w:ascii="Calibri" w:hAnsi="Calibri"/>
                <w:color w:val="333333"/>
                <w:sz w:val="18"/>
              </w:rPr>
              <w:t>≤₹3,000</w:t>
            </w:r>
          </w:p>
        </w:tc>
        <w:tc>
          <w:tcPr>
            <w:tcW w:type="dxa" w:w="3120"/>
            <w:shd w:fill="F2F6FA" w:val="clear"/>
          </w:tcPr>
          <w:p>
            <w:r>
              <w:rPr>
                <w:rFonts w:ascii="Calibri" w:hAnsi="Calibri"/>
                <w:color w:val="333333"/>
                <w:sz w:val="18"/>
              </w:rPr>
              <w:t>Manager</w:t>
            </w:r>
          </w:p>
        </w:tc>
      </w:tr>
      <w:tr>
        <w:tc>
          <w:tcPr>
            <w:tcW w:type="dxa" w:w="3120"/>
          </w:tcPr>
          <w:p>
            <w:r>
              <w:rPr>
                <w:rFonts w:ascii="Calibri" w:hAnsi="Calibri"/>
                <w:color w:val="333333"/>
                <w:sz w:val="18"/>
              </w:rPr>
              <w:t>Giving</w:t>
            </w:r>
          </w:p>
        </w:tc>
        <w:tc>
          <w:tcPr>
            <w:tcW w:type="dxa" w:w="3120"/>
          </w:tcPr>
          <w:p>
            <w:r>
              <w:rPr>
                <w:rFonts w:ascii="Calibri" w:hAnsi="Calibri"/>
                <w:color w:val="333333"/>
                <w:sz w:val="18"/>
              </w:rPr>
              <w:t>₹3,001-₹10,000</w:t>
            </w:r>
          </w:p>
        </w:tc>
        <w:tc>
          <w:tcPr>
            <w:tcW w:type="dxa" w:w="3120"/>
          </w:tcPr>
          <w:p>
            <w:r>
              <w:rPr>
                <w:rFonts w:ascii="Calibri" w:hAnsi="Calibri"/>
                <w:color w:val="333333"/>
                <w:sz w:val="18"/>
              </w:rPr>
              <w:t>Department Head + Legal</w:t>
            </w:r>
          </w:p>
        </w:tc>
      </w:tr>
      <w:tr>
        <w:tc>
          <w:tcPr>
            <w:tcW w:type="dxa" w:w="3120"/>
            <w:shd w:fill="F2F6FA" w:val="clear"/>
          </w:tcPr>
          <w:p>
            <w:r>
              <w:rPr>
                <w:rFonts w:ascii="Calibri" w:hAnsi="Calibri"/>
                <w:color w:val="333333"/>
                <w:sz w:val="18"/>
              </w:rPr>
              <w:t>Giving</w:t>
            </w:r>
          </w:p>
        </w:tc>
        <w:tc>
          <w:tcPr>
            <w:tcW w:type="dxa" w:w="3120"/>
            <w:shd w:fill="F2F6FA" w:val="clear"/>
          </w:tcPr>
          <w:p>
            <w:r>
              <w:rPr>
                <w:rFonts w:ascii="Calibri" w:hAnsi="Calibri"/>
                <w:color w:val="333333"/>
                <w:sz w:val="18"/>
              </w:rPr>
              <w:t>&gt;₹10,000</w:t>
            </w:r>
          </w:p>
        </w:tc>
        <w:tc>
          <w:tcPr>
            <w:tcW w:type="dxa" w:w="3120"/>
            <w:shd w:fill="F2F6FA" w:val="clear"/>
          </w:tcPr>
          <w:p>
            <w:r>
              <w:rPr>
                <w:rFonts w:ascii="Calibri" w:hAnsi="Calibri"/>
                <w:color w:val="333333"/>
                <w:sz w:val="18"/>
              </w:rPr>
              <w:t>CFO + Legal</w:t>
            </w:r>
          </w:p>
        </w:tc>
      </w:tr>
      <w:tr>
        <w:tc>
          <w:tcPr>
            <w:tcW w:type="dxa" w:w="3120"/>
          </w:tcPr>
          <w:p>
            <w:r>
              <w:rPr>
                <w:rFonts w:ascii="Calibri" w:hAnsi="Calibri"/>
                <w:color w:val="333333"/>
                <w:sz w:val="18"/>
              </w:rPr>
              <w:t>Cash</w:t>
            </w:r>
          </w:p>
        </w:tc>
        <w:tc>
          <w:tcPr>
            <w:tcW w:type="dxa" w:w="3120"/>
          </w:tcPr>
          <w:p>
            <w:r>
              <w:rPr>
                <w:rFonts w:ascii="Calibri" w:hAnsi="Calibri"/>
                <w:color w:val="333333"/>
                <w:sz w:val="18"/>
              </w:rPr>
              <w:t>Any</w:t>
            </w:r>
          </w:p>
        </w:tc>
        <w:tc>
          <w:tcPr>
            <w:tcW w:type="dxa" w:w="3120"/>
          </w:tcPr>
          <w:p>
            <w:r>
              <w:rPr>
                <w:rFonts w:ascii="Calibri" w:hAnsi="Calibri"/>
                <w:color w:val="333333"/>
                <w:sz w:val="18"/>
              </w:rPr>
              <w:t>Strictly Prohibited</w:t>
            </w:r>
          </w:p>
        </w:tc>
      </w:tr>
      <w:tr>
        <w:tc>
          <w:tcPr>
            <w:tcW w:type="dxa" w:w="3120"/>
            <w:shd w:fill="F2F6FA" w:val="clear"/>
          </w:tcPr>
          <w:p>
            <w:r>
              <w:rPr>
                <w:rFonts w:ascii="Calibri" w:hAnsi="Calibri"/>
                <w:color w:val="333333"/>
                <w:sz w:val="18"/>
              </w:rPr>
              <w:t>Gov Officials</w:t>
            </w:r>
          </w:p>
        </w:tc>
        <w:tc>
          <w:tcPr>
            <w:tcW w:type="dxa" w:w="3120"/>
            <w:shd w:fill="F2F6FA" w:val="clear"/>
          </w:tcPr>
          <w:p>
            <w:r>
              <w:rPr>
                <w:rFonts w:ascii="Calibri" w:hAnsi="Calibri"/>
                <w:color w:val="333333"/>
                <w:sz w:val="18"/>
              </w:rPr>
              <w:t>Any</w:t>
            </w:r>
          </w:p>
        </w:tc>
        <w:tc>
          <w:tcPr>
            <w:tcW w:type="dxa" w:w="3120"/>
            <w:shd w:fill="F2F6FA" w:val="clear"/>
          </w:tcPr>
          <w:p>
            <w:r>
              <w:rPr>
                <w:rFonts w:ascii="Calibri" w:hAnsi="Calibri"/>
                <w:color w:val="333333"/>
                <w:sz w:val="18"/>
              </w:rPr>
              <w:t>Legal Approval Required</w:t>
            </w:r>
          </w:p>
        </w:tc>
      </w:tr>
    </w:tbl>
    <w:p/>
    <w:p>
      <w:pPr>
        <w:pStyle w:val="Heading1"/>
      </w:pPr>
      <w:r>
        <w:t>3. Entertainment</w:t>
      </w:r>
    </w:p>
    <w:p>
      <w:pPr/>
      <w:r>
        <w:t xml:space="preserve">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Business meals ≤₹5,000/person are acceptable. &gt;₹5,000 requires Dept Head approval. Events &gt;₹15,000 require CFO approval. UK limit: ₹3,000 equivalent. </w:t>
      </w:r>
    </w:p>
    <w:p>
      <w:pPr>
        <w:pStyle w:val="Heading1"/>
      </w:pPr>
      <w:r>
        <w:t>4. Scenarios</w:t>
      </w:r>
    </w:p>
    <w:p>
      <w:pPr>
        <w:pStyle w:val="Heading3"/>
      </w:pPr>
      <w:r>
        <w:t>Scenario 1: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2: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3: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4: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5: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6: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7: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8: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9: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10: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11: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3"/>
      </w:pPr>
      <w:r>
        <w:t>Scenario 12: Festival Gift</w:t>
      </w:r>
    </w:p>
    <w:p>
      <w:r>
        <w:rPr>
          <w:b/>
          <w:color w:val="1B3A5C"/>
        </w:rPr>
        <w:t xml:space="preserve">Situation: </w:t>
      </w:r>
      <w:r>
        <w:t>A vendor sends a Diwali gift basket worth ₹4,000.</w:t>
      </w:r>
    </w:p>
    <w:p>
      <w:r>
        <w:rPr>
          <w:b/>
          <w:color w:val="1B3A5C"/>
        </w:rPr>
        <w:t xml:space="preserve">Relevant Requirements: </w:t>
      </w:r>
      <w:r>
        <w:t>Requires Manager approval + Legal notification.</w:t>
      </w:r>
    </w:p>
    <w:p>
      <w:r>
        <w:rPr>
          <w:b/>
          <w:color w:val="1B3A5C"/>
        </w:rPr>
        <w:t xml:space="preserve">Expected Process: </w:t>
      </w:r>
      <w:r>
        <w:t>Log in gift register, get approval.</w:t>
      </w:r>
    </w:p>
    <w:p>
      <w:r>
        <w:rPr>
          <w:b/>
          <w:color w:val="1B3A5C"/>
        </w:rPr>
        <w:t xml:space="preserve">Outcome: </w:t>
      </w:r>
      <w:r>
        <w:t>Gift accepted and logged.</w:t>
      </w:r>
    </w:p>
    <w:p/>
    <w:p>
      <w:pPr>
        <w:pStyle w:val="Heading1"/>
      </w:pPr>
      <w:r>
        <w:t>5. Frequently Asked Questions (FAQs)</w:t>
      </w:r>
    </w:p>
    <w:p>
      <w:r>
        <w:rPr>
          <w:rFonts w:ascii="Calibri" w:hAnsi="Calibri"/>
          <w:b/>
          <w:color w:val="1B3A5C"/>
          <w:sz w:val="22"/>
        </w:rPr>
        <w:t>Q: Can I give a gift card? (Variation 1)</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2)</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3)</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4)</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5)</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6)</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7)</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8)</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9)</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10)</w:t>
      </w:r>
    </w:p>
    <w:p>
      <w:pPr>
        <w:spacing w:after="240"/>
      </w:pPr>
      <w:r>
        <w:rPr>
          <w:rFonts w:ascii="Calibri" w:hAnsi="Calibri"/>
          <w:color w:val="333333"/>
          <w:sz w:val="22"/>
        </w:rPr>
        <w:t>A: No, gift cards are considered cash equivalents and are strictly prohibited.</w:t>
      </w:r>
    </w:p>
    <w:p>
      <w:r>
        <w:rPr>
          <w:rFonts w:ascii="Calibri" w:hAnsi="Calibri"/>
          <w:b/>
          <w:color w:val="1B3A5C"/>
          <w:sz w:val="22"/>
        </w:rPr>
        <w:t>Q: Can I give a gift card? (Variation 11)</w:t>
      </w:r>
    </w:p>
    <w:p>
      <w:pPr>
        <w:spacing w:after="240"/>
      </w:pPr>
      <w:r>
        <w:rPr>
          <w:rFonts w:ascii="Calibri" w:hAnsi="Calibri"/>
          <w:color w:val="333333"/>
          <w:sz w:val="22"/>
        </w:rPr>
        <w:t>A: No, gift cards are considered cash equivalents and are strictly prohibited.</w:t>
      </w:r>
    </w:p>
    <w:p>
      <w:pPr>
        <w:pStyle w:val="Heading1"/>
      </w:pPr>
      <w:r>
        <w:t>8. Enforcement and Disciplinary Action</w:t>
      </w:r>
    </w:p>
    <w:p>
      <w:pPr/>
      <w:r>
        <w:t>Violations of this policy are taken extremely seriously by Vistara Global Systems. Enforcement of this policy will be strict and swift, ensuring that all employees, regardless of rank or position, are held to the same standard.</w:t>
      </w:r>
    </w:p>
    <w:p>
      <w:pPr>
        <w:pStyle w:val="ListBullet"/>
      </w:pPr>
      <w:r>
        <w:t>Immediate suspension pending investigation for severe allegations.</w:t>
      </w:r>
    </w:p>
    <w:p>
      <w:pPr>
        <w:pStyle w:val="ListBullet"/>
      </w:pPr>
      <w:r>
        <w:t>Formal written warnings for minor, non-malicious infractions.</w:t>
      </w:r>
    </w:p>
    <w:p>
      <w:pPr>
        <w:pStyle w:val="ListBullet"/>
      </w:pPr>
      <w:r>
        <w:t>Termination of employment for material breaches.</w:t>
      </w:r>
    </w:p>
    <w:p>
      <w:pPr>
        <w:pStyle w:val="ListBullet"/>
      </w:pPr>
      <w:r>
        <w:t>Referral to law enforcement and regulatory bodies where applicable.</w:t>
      </w:r>
    </w:p>
    <w:p>
      <w:pPr>
        <w:pStyle w:val="ListBullet"/>
      </w:pPr>
      <w:r>
        <w:t>Civil litigation to recover damages caused by the breach.</w:t>
      </w:r>
    </w:p>
    <w:p>
      <w:pPr>
        <w:pStyle w:val="Heading2"/>
      </w:pPr>
      <w:r>
        <w:t>8.1 Enforcement Phase 1: Initial Assessment</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8.2 Enforcement Phase 2: Evidence Gathering</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8.3 Enforcement Phase 3: Formal Review</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8.4 Enforcement Phase 4: Disciplinary Committee</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8.5 Enforcement Phase 5: Final Resolution</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1"/>
      </w:pPr>
      <w:r>
        <w:t>9.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2.1</w:t>
            </w:r>
          </w:p>
        </w:tc>
        <w:tc>
          <w:tcPr>
            <w:tcW w:type="dxa" w:w="1872"/>
          </w:tcPr>
          <w:p>
            <w:r>
              <w:rPr>
                <w:rFonts w:ascii="Calibri" w:hAnsi="Calibri"/>
                <w:color w:val="333333"/>
                <w:sz w:val="18"/>
              </w:rPr>
              <w:t>01 Apr 2026</w:t>
            </w:r>
          </w:p>
        </w:tc>
        <w:tc>
          <w:tcPr>
            <w:tcW w:type="dxa" w:w="2160"/>
          </w:tcPr>
          <w:p>
            <w:r>
              <w:rPr>
                <w:rFonts w:ascii="Calibri" w:hAnsi="Calibri"/>
                <w:color w:val="333333"/>
                <w:sz w:val="18"/>
              </w:rPr>
              <w:t>Chief Legal Officer</w:t>
            </w:r>
          </w:p>
        </w:tc>
        <w:tc>
          <w:tcPr>
            <w:tcW w:type="dxa" w:w="4320"/>
          </w:tcPr>
          <w:p>
            <w:r>
              <w:rPr>
                <w:rFonts w:ascii="Calibri" w:hAnsi="Calibri"/>
                <w:color w:val="333333"/>
                <w:sz w:val="18"/>
              </w:rPr>
              <w:t>Updated thresholds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LEGAL-003</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