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Regulatory Compliance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LEGAL-007</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2.0</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Legal Officer</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CEO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August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February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LEGAL-007</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Regulatory Compliance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2.0</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Chief Legal Officer</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CEO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August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February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Semi-Annual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Employees globally</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1.2 (01 February 2026)</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LEGAL-001 through LEGAL-006, DATA-001, DATA-004, SEC-001, SEC-012, FIN-008, HR-007</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Compliance Governance</w:t>
      </w:r>
    </w:p>
    <w:p>
      <w:pPr/>
      <w:r>
        <w:t xml:space="preserve">Compliance Committee includes CLO, CISO, CPO, CFO, COO meeting quarterly. Compliance Committee includes CLO, CISO, CPO, CFO, COO meeting quarterly. Compliance Committee includes CLO, CISO, CPO, CFO, COO meeting quarterly. Compliance Committee includes CLO, CISO, CPO, CFO, COO meeting quarterly. Compliance Committee includes CLO, CISO, CPO, CFO, COO meeting quarterly. Compliance Committee includes CLO, CISO, CPO, CFO, COO meeting quarterly. Compliance Committee includes CLO, CISO, CPO, CFO, COO meeting quarterly. Compliance Committee includes CLO, CISO, CPO, CFO, COO meeting quarterly. Compliance Committee includes CLO, CISO, CPO, CFO, COO meeting quarterly. Compliance Committee includes CLO, CISO, CPO, CFO, COO meeting quarterly. Compliance Committee includes CLO, CISO, CPO, CFO, COO meeting quarterly. Compliance Committee includes CLO, CISO, CPO, CFO, COO meeting quarterly. Compliance Committee includes CLO, CISO, CPO, CFO, COO meeting quarterly. Compliance Committee includes CLO, CISO, CPO, CFO, COO meeting quarterly. Compliance Committee includes CLO, CISO, CPO, CFO, COO meeting quarterly. Compliance Committee includes CLO, CISO, CPO, CFO, COO meeting quarterly. Compliance Committee includes CLO, CISO, CPO, CFO, COO meeting quarterly. Compliance Committee includes CLO, CISO, CPO, CFO, COO meeting quarterly. Compliance Committee includes CLO, CISO, CPO, CFO, COO meeting quarterly. Compliance Committee includes CLO, CISO, CPO, CFO, COO meeting quarterly. Compliance Committee includes CLO, CISO, CPO, CFO, COO meeting quarterly. Compliance Committee includes CLO, CISO, CPO, CFO, COO meeting quarterly. Compliance Committee includes CLO, CISO, CPO, CFO, COO meeting quarterly. Compliance Committee includes CLO, CISO, CPO, CFO, COO meeting quarterly. Compliance Committee includes CLO, CISO, CPO, CFO, COO meeting quarterly. Compliance Committee includes CLO, CISO, CPO, CFO, COO meeting quarterly. Compliance Committee includes CLO, CISO, CPO, CFO, COO meeting quarterly. Compliance Committee includes CLO, CISO, CPO, CFO, COO meeting quarterly. Compliance Committee includes CLO, CISO, CPO, CFO, COO meeting quarterly. Compliance Committee includes CLO, CISO, CPO, CFO, COO meeting quarterly. </w:t>
      </w:r>
    </w:p>
    <w:p>
      <w:pPr>
        <w:pStyle w:val="Heading1"/>
      </w:pPr>
      <w:r>
        <w:t>2. Regulatory Landscape</w:t>
      </w:r>
    </w:p>
    <w:p>
      <w:pPr>
        <w:pStyle w:val="ListBullet"/>
      </w:pPr>
      <w:r>
        <w:t>India: Companies Act 2013, IT Act 2000, DPDP Act 2023</w:t>
      </w:r>
    </w:p>
    <w:p>
      <w:pPr>
        <w:pStyle w:val="ListBullet"/>
      </w:pPr>
      <w:r>
        <w:t>Singapore: PDPA, Cybersecurity Act</w:t>
      </w:r>
    </w:p>
    <w:p>
      <w:pPr>
        <w:pStyle w:val="ListBullet"/>
      </w:pPr>
      <w:r>
        <w:t>UAE: DIFC Data Protection Law</w:t>
      </w:r>
    </w:p>
    <w:p>
      <w:pPr>
        <w:pStyle w:val="ListBullet"/>
      </w:pPr>
      <w:r>
        <w:t>UK: UK GDPR, Data Protection Act</w:t>
      </w:r>
    </w:p>
    <w:p>
      <w:pPr>
        <w:pStyle w:val="ListBullet"/>
      </w:pPr>
      <w:r>
        <w:t>US: State-level privacy laws, SOX</w:t>
      </w:r>
    </w:p>
    <w:p>
      <w:pPr>
        <w:pStyle w:val="ListBullet"/>
      </w:pPr>
      <w:r>
        <w:t>India: Companies Act 2013, IT Act 2000, DPDP Act 2023</w:t>
      </w:r>
    </w:p>
    <w:p>
      <w:pPr>
        <w:pStyle w:val="ListBullet"/>
      </w:pPr>
      <w:r>
        <w:t>Singapore: PDPA, Cybersecurity Act</w:t>
      </w:r>
    </w:p>
    <w:p>
      <w:pPr>
        <w:pStyle w:val="ListBullet"/>
      </w:pPr>
      <w:r>
        <w:t>UAE: DIFC Data Protection Law</w:t>
      </w:r>
    </w:p>
    <w:p>
      <w:pPr>
        <w:pStyle w:val="ListBullet"/>
      </w:pPr>
      <w:r>
        <w:t>UK: UK GDPR, Data Protection Act</w:t>
      </w:r>
    </w:p>
    <w:p>
      <w:pPr>
        <w:pStyle w:val="ListBullet"/>
      </w:pPr>
      <w:r>
        <w:t>US: State-level privacy laws, SOX</w:t>
      </w:r>
    </w:p>
    <w:p>
      <w:pPr>
        <w:pStyle w:val="ListBullet"/>
      </w:pPr>
      <w:r>
        <w:t>India: Companies Act 2013, IT Act 2000, DPDP Act 2023</w:t>
      </w:r>
    </w:p>
    <w:p>
      <w:pPr>
        <w:pStyle w:val="ListBullet"/>
      </w:pPr>
      <w:r>
        <w:t>Singapore: PDPA, Cybersecurity Act</w:t>
      </w:r>
    </w:p>
    <w:p>
      <w:pPr>
        <w:pStyle w:val="ListBullet"/>
      </w:pPr>
      <w:r>
        <w:t>UAE: DIFC Data Protection Law</w:t>
      </w:r>
    </w:p>
    <w:p>
      <w:pPr>
        <w:pStyle w:val="ListBullet"/>
      </w:pPr>
      <w:r>
        <w:t>UK: UK GDPR, Data Protection Act</w:t>
      </w:r>
    </w:p>
    <w:p>
      <w:pPr>
        <w:pStyle w:val="ListBullet"/>
      </w:pPr>
      <w:r>
        <w:t>US: State-level privacy laws, SOX</w:t>
      </w:r>
    </w:p>
    <w:p>
      <w:pPr>
        <w:pStyle w:val="ListBullet"/>
      </w:pPr>
      <w:r>
        <w:t>India: Companies Act 2013, IT Act 2000, DPDP Act 2023</w:t>
      </w:r>
    </w:p>
    <w:p>
      <w:pPr>
        <w:pStyle w:val="ListBullet"/>
      </w:pPr>
      <w:r>
        <w:t>Singapore: PDPA, Cybersecurity Act</w:t>
      </w:r>
    </w:p>
    <w:p>
      <w:pPr>
        <w:pStyle w:val="ListBullet"/>
      </w:pPr>
      <w:r>
        <w:t>UAE: DIFC Data Protection Law</w:t>
      </w:r>
    </w:p>
    <w:p>
      <w:pPr>
        <w:pStyle w:val="ListBullet"/>
      </w:pPr>
      <w:r>
        <w:t>UK: UK GDPR, Data Protection Act</w:t>
      </w:r>
    </w:p>
    <w:p>
      <w:pPr>
        <w:pStyle w:val="ListBullet"/>
      </w:pPr>
      <w:r>
        <w:t>US: State-level privacy laws, SOX</w:t>
      </w:r>
    </w:p>
    <w:p>
      <w:pPr>
        <w:pStyle w:val="ListBullet"/>
      </w:pPr>
      <w:r>
        <w:t>India: Companies Act 2013, IT Act 2000, DPDP Act 2023</w:t>
      </w:r>
    </w:p>
    <w:p>
      <w:pPr>
        <w:pStyle w:val="ListBullet"/>
      </w:pPr>
      <w:r>
        <w:t>Singapore: PDPA, Cybersecurity Act</w:t>
      </w:r>
    </w:p>
    <w:p>
      <w:pPr>
        <w:pStyle w:val="ListBullet"/>
      </w:pPr>
      <w:r>
        <w:t>UAE: DIFC Data Protection Law</w:t>
      </w:r>
    </w:p>
    <w:p>
      <w:pPr>
        <w:pStyle w:val="ListBullet"/>
      </w:pPr>
      <w:r>
        <w:t>UK: UK GDPR, Data Protection Act</w:t>
      </w:r>
    </w:p>
    <w:p>
      <w:pPr>
        <w:pStyle w:val="ListBullet"/>
      </w:pPr>
      <w:r>
        <w:t>US: State-level privacy laws, SOX</w:t>
      </w:r>
    </w:p>
    <w:p>
      <w:pPr>
        <w:pStyle w:val="Heading1"/>
      </w:pPr>
      <w:r>
        <w:t>3. Compliance Obligations</w:t>
      </w:r>
    </w:p>
    <w:p>
      <w:pPr/>
      <w:r>
        <w:t xml:space="preserve">Maintained in the compliance obligations register by Legal, reviewed quarterly. Maintained in the compliance obligations register by Legal, reviewed quarterly. Maintained in the compliance obligations register by Legal, reviewed quarterly. Maintained in the compliance obligations register by Legal, reviewed quarterly. Maintained in the compliance obligations register by Legal, reviewed quarterly. Maintained in the compliance obligations register by Legal, reviewed quarterly. Maintained in the compliance obligations register by Legal, reviewed quarterly. Maintained in the compliance obligations register by Legal, reviewed quarterly. Maintained in the compliance obligations register by Legal, reviewed quarterly. Maintained in the compliance obligations register by Legal, reviewed quarterly. Maintained in the compliance obligations register by Legal, reviewed quarterly. Maintained in the compliance obligations register by Legal, reviewed quarterly. Maintained in the compliance obligations register by Legal, reviewed quarterly. Maintained in the compliance obligations register by Legal, reviewed quarterly. Maintained in the compliance obligations register by Legal, reviewed quarterly. Maintained in the compliance obligations register by Legal, reviewed quarterly. Maintained in the compliance obligations register by Legal, reviewed quarterly. Maintained in the compliance obligations register by Legal, reviewed quarterly. Maintained in the compliance obligations register by Legal, reviewed quarterly. Maintained in the compliance obligations register by Legal, reviewed quarterly. </w:t>
      </w:r>
    </w:p>
    <w:p>
      <w:pPr>
        <w:pStyle w:val="Heading1"/>
      </w:pPr>
      <w:r>
        <w:t>4. Scenarios</w:t>
      </w:r>
    </w:p>
    <w:p>
      <w:pPr>
        <w:pStyle w:val="Heading3"/>
      </w:pPr>
      <w:r>
        <w:t>Scenario 1: Regulatory Audit</w:t>
      </w:r>
    </w:p>
    <w:p>
      <w:r>
        <w:rPr>
          <w:b/>
          <w:color w:val="1B3A5C"/>
        </w:rPr>
        <w:t xml:space="preserve">Situation: </w:t>
      </w:r>
      <w:r>
        <w:t>A local regulator requests compliance records.</w:t>
      </w:r>
    </w:p>
    <w:p>
      <w:r>
        <w:rPr>
          <w:b/>
          <w:color w:val="1B3A5C"/>
        </w:rPr>
        <w:t xml:space="preserve">Relevant Requirements: </w:t>
      </w:r>
      <w:r>
        <w:t>Must notify Legal immediately.</w:t>
      </w:r>
    </w:p>
    <w:p>
      <w:r>
        <w:rPr>
          <w:b/>
          <w:color w:val="1B3A5C"/>
        </w:rPr>
        <w:t xml:space="preserve">Expected Process: </w:t>
      </w:r>
      <w:r>
        <w:t>Legal coordinates document production.</w:t>
      </w:r>
    </w:p>
    <w:p>
      <w:r>
        <w:rPr>
          <w:b/>
          <w:color w:val="1B3A5C"/>
        </w:rPr>
        <w:t xml:space="preserve">Outcome: </w:t>
      </w:r>
      <w:r>
        <w:t>Successful audit with no findings.</w:t>
      </w:r>
    </w:p>
    <w:p/>
    <w:p>
      <w:pPr>
        <w:pStyle w:val="Heading3"/>
      </w:pPr>
      <w:r>
        <w:t>Scenario 2: Regulatory Audit</w:t>
      </w:r>
    </w:p>
    <w:p>
      <w:r>
        <w:rPr>
          <w:b/>
          <w:color w:val="1B3A5C"/>
        </w:rPr>
        <w:t xml:space="preserve">Situation: </w:t>
      </w:r>
      <w:r>
        <w:t>A local regulator requests compliance records.</w:t>
      </w:r>
    </w:p>
    <w:p>
      <w:r>
        <w:rPr>
          <w:b/>
          <w:color w:val="1B3A5C"/>
        </w:rPr>
        <w:t xml:space="preserve">Relevant Requirements: </w:t>
      </w:r>
      <w:r>
        <w:t>Must notify Legal immediately.</w:t>
      </w:r>
    </w:p>
    <w:p>
      <w:r>
        <w:rPr>
          <w:b/>
          <w:color w:val="1B3A5C"/>
        </w:rPr>
        <w:t xml:space="preserve">Expected Process: </w:t>
      </w:r>
      <w:r>
        <w:t>Legal coordinates document production.</w:t>
      </w:r>
    </w:p>
    <w:p>
      <w:r>
        <w:rPr>
          <w:b/>
          <w:color w:val="1B3A5C"/>
        </w:rPr>
        <w:t xml:space="preserve">Outcome: </w:t>
      </w:r>
      <w:r>
        <w:t>Successful audit with no findings.</w:t>
      </w:r>
    </w:p>
    <w:p/>
    <w:p>
      <w:pPr>
        <w:pStyle w:val="Heading3"/>
      </w:pPr>
      <w:r>
        <w:t>Scenario 3: Regulatory Audit</w:t>
      </w:r>
    </w:p>
    <w:p>
      <w:r>
        <w:rPr>
          <w:b/>
          <w:color w:val="1B3A5C"/>
        </w:rPr>
        <w:t xml:space="preserve">Situation: </w:t>
      </w:r>
      <w:r>
        <w:t>A local regulator requests compliance records.</w:t>
      </w:r>
    </w:p>
    <w:p>
      <w:r>
        <w:rPr>
          <w:b/>
          <w:color w:val="1B3A5C"/>
        </w:rPr>
        <w:t xml:space="preserve">Relevant Requirements: </w:t>
      </w:r>
      <w:r>
        <w:t>Must notify Legal immediately.</w:t>
      </w:r>
    </w:p>
    <w:p>
      <w:r>
        <w:rPr>
          <w:b/>
          <w:color w:val="1B3A5C"/>
        </w:rPr>
        <w:t xml:space="preserve">Expected Process: </w:t>
      </w:r>
      <w:r>
        <w:t>Legal coordinates document production.</w:t>
      </w:r>
    </w:p>
    <w:p>
      <w:r>
        <w:rPr>
          <w:b/>
          <w:color w:val="1B3A5C"/>
        </w:rPr>
        <w:t xml:space="preserve">Outcome: </w:t>
      </w:r>
      <w:r>
        <w:t>Successful audit with no findings.</w:t>
      </w:r>
    </w:p>
    <w:p/>
    <w:p>
      <w:pPr>
        <w:pStyle w:val="Heading3"/>
      </w:pPr>
      <w:r>
        <w:t>Scenario 4: Regulatory Audit</w:t>
      </w:r>
    </w:p>
    <w:p>
      <w:r>
        <w:rPr>
          <w:b/>
          <w:color w:val="1B3A5C"/>
        </w:rPr>
        <w:t xml:space="preserve">Situation: </w:t>
      </w:r>
      <w:r>
        <w:t>A local regulator requests compliance records.</w:t>
      </w:r>
    </w:p>
    <w:p>
      <w:r>
        <w:rPr>
          <w:b/>
          <w:color w:val="1B3A5C"/>
        </w:rPr>
        <w:t xml:space="preserve">Relevant Requirements: </w:t>
      </w:r>
      <w:r>
        <w:t>Must notify Legal immediately.</w:t>
      </w:r>
    </w:p>
    <w:p>
      <w:r>
        <w:rPr>
          <w:b/>
          <w:color w:val="1B3A5C"/>
        </w:rPr>
        <w:t xml:space="preserve">Expected Process: </w:t>
      </w:r>
      <w:r>
        <w:t>Legal coordinates document production.</w:t>
      </w:r>
    </w:p>
    <w:p>
      <w:r>
        <w:rPr>
          <w:b/>
          <w:color w:val="1B3A5C"/>
        </w:rPr>
        <w:t xml:space="preserve">Outcome: </w:t>
      </w:r>
      <w:r>
        <w:t>Successful audit with no findings.</w:t>
      </w:r>
    </w:p>
    <w:p/>
    <w:p>
      <w:pPr>
        <w:pStyle w:val="Heading3"/>
      </w:pPr>
      <w:r>
        <w:t>Scenario 5: Regulatory Audit</w:t>
      </w:r>
    </w:p>
    <w:p>
      <w:r>
        <w:rPr>
          <w:b/>
          <w:color w:val="1B3A5C"/>
        </w:rPr>
        <w:t xml:space="preserve">Situation: </w:t>
      </w:r>
      <w:r>
        <w:t>A local regulator requests compliance records.</w:t>
      </w:r>
    </w:p>
    <w:p>
      <w:r>
        <w:rPr>
          <w:b/>
          <w:color w:val="1B3A5C"/>
        </w:rPr>
        <w:t xml:space="preserve">Relevant Requirements: </w:t>
      </w:r>
      <w:r>
        <w:t>Must notify Legal immediately.</w:t>
      </w:r>
    </w:p>
    <w:p>
      <w:r>
        <w:rPr>
          <w:b/>
          <w:color w:val="1B3A5C"/>
        </w:rPr>
        <w:t xml:space="preserve">Expected Process: </w:t>
      </w:r>
      <w:r>
        <w:t>Legal coordinates document production.</w:t>
      </w:r>
    </w:p>
    <w:p>
      <w:r>
        <w:rPr>
          <w:b/>
          <w:color w:val="1B3A5C"/>
        </w:rPr>
        <w:t xml:space="preserve">Outcome: </w:t>
      </w:r>
      <w:r>
        <w:t>Successful audit with no findings.</w:t>
      </w:r>
    </w:p>
    <w:p/>
    <w:p>
      <w:pPr>
        <w:pStyle w:val="Heading3"/>
      </w:pPr>
      <w:r>
        <w:t>Scenario 6: Regulatory Audit</w:t>
      </w:r>
    </w:p>
    <w:p>
      <w:r>
        <w:rPr>
          <w:b/>
          <w:color w:val="1B3A5C"/>
        </w:rPr>
        <w:t xml:space="preserve">Situation: </w:t>
      </w:r>
      <w:r>
        <w:t>A local regulator requests compliance records.</w:t>
      </w:r>
    </w:p>
    <w:p>
      <w:r>
        <w:rPr>
          <w:b/>
          <w:color w:val="1B3A5C"/>
        </w:rPr>
        <w:t xml:space="preserve">Relevant Requirements: </w:t>
      </w:r>
      <w:r>
        <w:t>Must notify Legal immediately.</w:t>
      </w:r>
    </w:p>
    <w:p>
      <w:r>
        <w:rPr>
          <w:b/>
          <w:color w:val="1B3A5C"/>
        </w:rPr>
        <w:t xml:space="preserve">Expected Process: </w:t>
      </w:r>
      <w:r>
        <w:t>Legal coordinates document production.</w:t>
      </w:r>
    </w:p>
    <w:p>
      <w:r>
        <w:rPr>
          <w:b/>
          <w:color w:val="1B3A5C"/>
        </w:rPr>
        <w:t xml:space="preserve">Outcome: </w:t>
      </w:r>
      <w:r>
        <w:t>Successful audit with no findings.</w:t>
      </w:r>
    </w:p>
    <w:p/>
    <w:p>
      <w:pPr>
        <w:pStyle w:val="Heading3"/>
      </w:pPr>
      <w:r>
        <w:t>Scenario 7: Regulatory Audit</w:t>
      </w:r>
    </w:p>
    <w:p>
      <w:r>
        <w:rPr>
          <w:b/>
          <w:color w:val="1B3A5C"/>
        </w:rPr>
        <w:t xml:space="preserve">Situation: </w:t>
      </w:r>
      <w:r>
        <w:t>A local regulator requests compliance records.</w:t>
      </w:r>
    </w:p>
    <w:p>
      <w:r>
        <w:rPr>
          <w:b/>
          <w:color w:val="1B3A5C"/>
        </w:rPr>
        <w:t xml:space="preserve">Relevant Requirements: </w:t>
      </w:r>
      <w:r>
        <w:t>Must notify Legal immediately.</w:t>
      </w:r>
    </w:p>
    <w:p>
      <w:r>
        <w:rPr>
          <w:b/>
          <w:color w:val="1B3A5C"/>
        </w:rPr>
        <w:t xml:space="preserve">Expected Process: </w:t>
      </w:r>
      <w:r>
        <w:t>Legal coordinates document production.</w:t>
      </w:r>
    </w:p>
    <w:p>
      <w:r>
        <w:rPr>
          <w:b/>
          <w:color w:val="1B3A5C"/>
        </w:rPr>
        <w:t xml:space="preserve">Outcome: </w:t>
      </w:r>
      <w:r>
        <w:t>Successful audit with no findings.</w:t>
      </w:r>
    </w:p>
    <w:p/>
    <w:p>
      <w:pPr>
        <w:pStyle w:val="Heading3"/>
      </w:pPr>
      <w:r>
        <w:t>Scenario 8: Regulatory Audit</w:t>
      </w:r>
    </w:p>
    <w:p>
      <w:r>
        <w:rPr>
          <w:b/>
          <w:color w:val="1B3A5C"/>
        </w:rPr>
        <w:t xml:space="preserve">Situation: </w:t>
      </w:r>
      <w:r>
        <w:t>A local regulator requests compliance records.</w:t>
      </w:r>
    </w:p>
    <w:p>
      <w:r>
        <w:rPr>
          <w:b/>
          <w:color w:val="1B3A5C"/>
        </w:rPr>
        <w:t xml:space="preserve">Relevant Requirements: </w:t>
      </w:r>
      <w:r>
        <w:t>Must notify Legal immediately.</w:t>
      </w:r>
    </w:p>
    <w:p>
      <w:r>
        <w:rPr>
          <w:b/>
          <w:color w:val="1B3A5C"/>
        </w:rPr>
        <w:t xml:space="preserve">Expected Process: </w:t>
      </w:r>
      <w:r>
        <w:t>Legal coordinates document production.</w:t>
      </w:r>
    </w:p>
    <w:p>
      <w:r>
        <w:rPr>
          <w:b/>
          <w:color w:val="1B3A5C"/>
        </w:rPr>
        <w:t xml:space="preserve">Outcome: </w:t>
      </w:r>
      <w:r>
        <w:t>Successful audit with no findings.</w:t>
      </w:r>
    </w:p>
    <w:p/>
    <w:p>
      <w:pPr>
        <w:pStyle w:val="Heading3"/>
      </w:pPr>
      <w:r>
        <w:t>Scenario 9: Regulatory Audit</w:t>
      </w:r>
    </w:p>
    <w:p>
      <w:r>
        <w:rPr>
          <w:b/>
          <w:color w:val="1B3A5C"/>
        </w:rPr>
        <w:t xml:space="preserve">Situation: </w:t>
      </w:r>
      <w:r>
        <w:t>A local regulator requests compliance records.</w:t>
      </w:r>
    </w:p>
    <w:p>
      <w:r>
        <w:rPr>
          <w:b/>
          <w:color w:val="1B3A5C"/>
        </w:rPr>
        <w:t xml:space="preserve">Relevant Requirements: </w:t>
      </w:r>
      <w:r>
        <w:t>Must notify Legal immediately.</w:t>
      </w:r>
    </w:p>
    <w:p>
      <w:r>
        <w:rPr>
          <w:b/>
          <w:color w:val="1B3A5C"/>
        </w:rPr>
        <w:t xml:space="preserve">Expected Process: </w:t>
      </w:r>
      <w:r>
        <w:t>Legal coordinates document production.</w:t>
      </w:r>
    </w:p>
    <w:p>
      <w:r>
        <w:rPr>
          <w:b/>
          <w:color w:val="1B3A5C"/>
        </w:rPr>
        <w:t xml:space="preserve">Outcome: </w:t>
      </w:r>
      <w:r>
        <w:t>Successful audit with no findings.</w:t>
      </w:r>
    </w:p>
    <w:p/>
    <w:p>
      <w:pPr>
        <w:pStyle w:val="Heading3"/>
      </w:pPr>
      <w:r>
        <w:t>Scenario 10: Regulatory Audit</w:t>
      </w:r>
    </w:p>
    <w:p>
      <w:r>
        <w:rPr>
          <w:b/>
          <w:color w:val="1B3A5C"/>
        </w:rPr>
        <w:t xml:space="preserve">Situation: </w:t>
      </w:r>
      <w:r>
        <w:t>A local regulator requests compliance records.</w:t>
      </w:r>
    </w:p>
    <w:p>
      <w:r>
        <w:rPr>
          <w:b/>
          <w:color w:val="1B3A5C"/>
        </w:rPr>
        <w:t xml:space="preserve">Relevant Requirements: </w:t>
      </w:r>
      <w:r>
        <w:t>Must notify Legal immediately.</w:t>
      </w:r>
    </w:p>
    <w:p>
      <w:r>
        <w:rPr>
          <w:b/>
          <w:color w:val="1B3A5C"/>
        </w:rPr>
        <w:t xml:space="preserve">Expected Process: </w:t>
      </w:r>
      <w:r>
        <w:t>Legal coordinates document production.</w:t>
      </w:r>
    </w:p>
    <w:p>
      <w:r>
        <w:rPr>
          <w:b/>
          <w:color w:val="1B3A5C"/>
        </w:rPr>
        <w:t xml:space="preserve">Outcome: </w:t>
      </w:r>
      <w:r>
        <w:t>Successful audit with no findings.</w:t>
      </w:r>
    </w:p>
    <w:p/>
    <w:p>
      <w:pPr>
        <w:pStyle w:val="Heading1"/>
      </w:pPr>
      <w:r>
        <w:t>5. Frequently Asked Questions (FAQs)</w:t>
      </w:r>
    </w:p>
    <w:p>
      <w:r>
        <w:rPr>
          <w:rFonts w:ascii="Calibri" w:hAnsi="Calibri"/>
          <w:b/>
          <w:color w:val="1B3A5C"/>
          <w:sz w:val="22"/>
        </w:rPr>
        <w:t>Q: What do I do if a regulator contacts me? (Variation 1)</w:t>
      </w:r>
    </w:p>
    <w:p>
      <w:pPr>
        <w:spacing w:after="240"/>
      </w:pPr>
      <w:r>
        <w:rPr>
          <w:rFonts w:ascii="Calibri" w:hAnsi="Calibri"/>
          <w:color w:val="333333"/>
          <w:sz w:val="22"/>
        </w:rPr>
        <w:t>A: Do not provide information directly. Direct the inquiry to the Legal and Compliance team immediately.</w:t>
      </w:r>
    </w:p>
    <w:p>
      <w:r>
        <w:rPr>
          <w:rFonts w:ascii="Calibri" w:hAnsi="Calibri"/>
          <w:b/>
          <w:color w:val="1B3A5C"/>
          <w:sz w:val="22"/>
        </w:rPr>
        <w:t>Q: What do I do if a regulator contacts me? (Variation 2)</w:t>
      </w:r>
    </w:p>
    <w:p>
      <w:pPr>
        <w:spacing w:after="240"/>
      </w:pPr>
      <w:r>
        <w:rPr>
          <w:rFonts w:ascii="Calibri" w:hAnsi="Calibri"/>
          <w:color w:val="333333"/>
          <w:sz w:val="22"/>
        </w:rPr>
        <w:t>A: Do not provide information directly. Direct the inquiry to the Legal and Compliance team immediately.</w:t>
      </w:r>
    </w:p>
    <w:p>
      <w:r>
        <w:rPr>
          <w:rFonts w:ascii="Calibri" w:hAnsi="Calibri"/>
          <w:b/>
          <w:color w:val="1B3A5C"/>
          <w:sz w:val="22"/>
        </w:rPr>
        <w:t>Q: What do I do if a regulator contacts me? (Variation 3)</w:t>
      </w:r>
    </w:p>
    <w:p>
      <w:pPr>
        <w:spacing w:after="240"/>
      </w:pPr>
      <w:r>
        <w:rPr>
          <w:rFonts w:ascii="Calibri" w:hAnsi="Calibri"/>
          <w:color w:val="333333"/>
          <w:sz w:val="22"/>
        </w:rPr>
        <w:t>A: Do not provide information directly. Direct the inquiry to the Legal and Compliance team immediately.</w:t>
      </w:r>
    </w:p>
    <w:p>
      <w:r>
        <w:rPr>
          <w:rFonts w:ascii="Calibri" w:hAnsi="Calibri"/>
          <w:b/>
          <w:color w:val="1B3A5C"/>
          <w:sz w:val="22"/>
        </w:rPr>
        <w:t>Q: What do I do if a regulator contacts me? (Variation 4)</w:t>
      </w:r>
    </w:p>
    <w:p>
      <w:pPr>
        <w:spacing w:after="240"/>
      </w:pPr>
      <w:r>
        <w:rPr>
          <w:rFonts w:ascii="Calibri" w:hAnsi="Calibri"/>
          <w:color w:val="333333"/>
          <w:sz w:val="22"/>
        </w:rPr>
        <w:t>A: Do not provide information directly. Direct the inquiry to the Legal and Compliance team immediately.</w:t>
      </w:r>
    </w:p>
    <w:p>
      <w:r>
        <w:rPr>
          <w:rFonts w:ascii="Calibri" w:hAnsi="Calibri"/>
          <w:b/>
          <w:color w:val="1B3A5C"/>
          <w:sz w:val="22"/>
        </w:rPr>
        <w:t>Q: What do I do if a regulator contacts me? (Variation 5)</w:t>
      </w:r>
    </w:p>
    <w:p>
      <w:pPr>
        <w:spacing w:after="240"/>
      </w:pPr>
      <w:r>
        <w:rPr>
          <w:rFonts w:ascii="Calibri" w:hAnsi="Calibri"/>
          <w:color w:val="333333"/>
          <w:sz w:val="22"/>
        </w:rPr>
        <w:t>A: Do not provide information directly. Direct the inquiry to the Legal and Compliance team immediately.</w:t>
      </w:r>
    </w:p>
    <w:p>
      <w:r>
        <w:rPr>
          <w:rFonts w:ascii="Calibri" w:hAnsi="Calibri"/>
          <w:b/>
          <w:color w:val="1B3A5C"/>
          <w:sz w:val="22"/>
        </w:rPr>
        <w:t>Q: What do I do if a regulator contacts me? (Variation 6)</w:t>
      </w:r>
    </w:p>
    <w:p>
      <w:pPr>
        <w:spacing w:after="240"/>
      </w:pPr>
      <w:r>
        <w:rPr>
          <w:rFonts w:ascii="Calibri" w:hAnsi="Calibri"/>
          <w:color w:val="333333"/>
          <w:sz w:val="22"/>
        </w:rPr>
        <w:t>A: Do not provide information directly. Direct the inquiry to the Legal and Compliance team immediately.</w:t>
      </w:r>
    </w:p>
    <w:p>
      <w:r>
        <w:rPr>
          <w:rFonts w:ascii="Calibri" w:hAnsi="Calibri"/>
          <w:b/>
          <w:color w:val="1B3A5C"/>
          <w:sz w:val="22"/>
        </w:rPr>
        <w:t>Q: What do I do if a regulator contacts me? (Variation 7)</w:t>
      </w:r>
    </w:p>
    <w:p>
      <w:pPr>
        <w:spacing w:after="240"/>
      </w:pPr>
      <w:r>
        <w:rPr>
          <w:rFonts w:ascii="Calibri" w:hAnsi="Calibri"/>
          <w:color w:val="333333"/>
          <w:sz w:val="22"/>
        </w:rPr>
        <w:t>A: Do not provide information directly. Direct the inquiry to the Legal and Compliance team immediately.</w:t>
      </w:r>
    </w:p>
    <w:p>
      <w:r>
        <w:rPr>
          <w:rFonts w:ascii="Calibri" w:hAnsi="Calibri"/>
          <w:b/>
          <w:color w:val="1B3A5C"/>
          <w:sz w:val="22"/>
        </w:rPr>
        <w:t>Q: What do I do if a regulator contacts me? (Variation 8)</w:t>
      </w:r>
    </w:p>
    <w:p>
      <w:pPr>
        <w:spacing w:after="240"/>
      </w:pPr>
      <w:r>
        <w:rPr>
          <w:rFonts w:ascii="Calibri" w:hAnsi="Calibri"/>
          <w:color w:val="333333"/>
          <w:sz w:val="22"/>
        </w:rPr>
        <w:t>A: Do not provide information directly. Direct the inquiry to the Legal and Compliance team immediately.</w:t>
      </w:r>
    </w:p>
    <w:p>
      <w:r>
        <w:rPr>
          <w:rFonts w:ascii="Calibri" w:hAnsi="Calibri"/>
          <w:b/>
          <w:color w:val="1B3A5C"/>
          <w:sz w:val="22"/>
        </w:rPr>
        <w:t>Q: What do I do if a regulator contacts me? (Variation 9)</w:t>
      </w:r>
    </w:p>
    <w:p>
      <w:pPr>
        <w:spacing w:after="240"/>
      </w:pPr>
      <w:r>
        <w:rPr>
          <w:rFonts w:ascii="Calibri" w:hAnsi="Calibri"/>
          <w:color w:val="333333"/>
          <w:sz w:val="22"/>
        </w:rPr>
        <w:t>A: Do not provide information directly. Direct the inquiry to the Legal and Compliance team immediately.</w:t>
      </w:r>
    </w:p>
    <w:p>
      <w:r>
        <w:rPr>
          <w:rFonts w:ascii="Calibri" w:hAnsi="Calibri"/>
          <w:b/>
          <w:color w:val="1B3A5C"/>
          <w:sz w:val="22"/>
        </w:rPr>
        <w:t>Q: What do I do if a regulator contacts me? (Variation 10)</w:t>
      </w:r>
    </w:p>
    <w:p>
      <w:pPr>
        <w:spacing w:after="240"/>
      </w:pPr>
      <w:r>
        <w:rPr>
          <w:rFonts w:ascii="Calibri" w:hAnsi="Calibri"/>
          <w:color w:val="333333"/>
          <w:sz w:val="22"/>
        </w:rPr>
        <w:t>A: Do not provide information directly. Direct the inquiry to the Legal and Compliance team immediately.</w:t>
      </w:r>
    </w:p>
    <w:p>
      <w:r>
        <w:rPr>
          <w:rFonts w:ascii="Calibri" w:hAnsi="Calibri"/>
          <w:b/>
          <w:color w:val="1B3A5C"/>
          <w:sz w:val="22"/>
        </w:rPr>
        <w:t>Q: What do I do if a regulator contacts me? (Variation 11)</w:t>
      </w:r>
    </w:p>
    <w:p>
      <w:pPr>
        <w:spacing w:after="240"/>
      </w:pPr>
      <w:r>
        <w:rPr>
          <w:rFonts w:ascii="Calibri" w:hAnsi="Calibri"/>
          <w:color w:val="333333"/>
          <w:sz w:val="22"/>
        </w:rPr>
        <w:t>A: Do not provide information directly. Direct the inquiry to the Legal and Compliance team immediately.</w:t>
      </w:r>
    </w:p>
    <w:p>
      <w:r>
        <w:rPr>
          <w:rFonts w:ascii="Calibri" w:hAnsi="Calibri"/>
          <w:b/>
          <w:color w:val="1B3A5C"/>
          <w:sz w:val="22"/>
        </w:rPr>
        <w:t>Q: What do I do if a regulator contacts me? (Variation 12)</w:t>
      </w:r>
    </w:p>
    <w:p>
      <w:pPr>
        <w:spacing w:after="240"/>
      </w:pPr>
      <w:r>
        <w:rPr>
          <w:rFonts w:ascii="Calibri" w:hAnsi="Calibri"/>
          <w:color w:val="333333"/>
          <w:sz w:val="22"/>
        </w:rPr>
        <w:t>A: Do not provide information directly. Direct the inquiry to the Legal and Compliance team immediately.</w:t>
      </w:r>
    </w:p>
    <w:p>
      <w:pPr>
        <w:pStyle w:val="Heading1"/>
      </w:pPr>
      <w:r>
        <w:t>8. Enforcement and Disciplinary Action</w:t>
      </w:r>
    </w:p>
    <w:p>
      <w:pPr/>
      <w:r>
        <w:t>Violations of this policy are taken extremely seriously by Vistara Global Systems. Enforcement of this policy will be strict and swift, ensuring that all employees, regardless of rank or position, are held to the same standard.</w:t>
      </w:r>
    </w:p>
    <w:p>
      <w:pPr>
        <w:pStyle w:val="ListBullet"/>
      </w:pPr>
      <w:r>
        <w:t>Immediate suspension pending investigation for severe allegations.</w:t>
      </w:r>
    </w:p>
    <w:p>
      <w:pPr>
        <w:pStyle w:val="ListBullet"/>
      </w:pPr>
      <w:r>
        <w:t>Formal written warnings for minor, non-malicious infractions.</w:t>
      </w:r>
    </w:p>
    <w:p>
      <w:pPr>
        <w:pStyle w:val="ListBullet"/>
      </w:pPr>
      <w:r>
        <w:t>Termination of employment for material breaches.</w:t>
      </w:r>
    </w:p>
    <w:p>
      <w:pPr>
        <w:pStyle w:val="ListBullet"/>
      </w:pPr>
      <w:r>
        <w:t>Referral to law enforcement and regulatory bodies where applicable.</w:t>
      </w:r>
    </w:p>
    <w:p>
      <w:pPr>
        <w:pStyle w:val="ListBullet"/>
      </w:pPr>
      <w:r>
        <w:t>Civil litigation to recover damages caused by the breach.</w:t>
      </w:r>
    </w:p>
    <w:p>
      <w:pPr>
        <w:pStyle w:val="Heading2"/>
      </w:pPr>
      <w:r>
        <w:t>8.1 Enforcement Phase 1: Initial Assessment</w:t>
      </w:r>
    </w:p>
    <w:p>
      <w:pPr/>
      <w:r>
        <w:t xml:space="preserve">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w:t>
      </w:r>
    </w:p>
    <w:p>
      <w:pPr>
        <w:pStyle w:val="Heading2"/>
      </w:pPr>
      <w:r>
        <w:t>8.2 Enforcement Phase 2: Evidence Gathering</w:t>
      </w:r>
    </w:p>
    <w:p>
      <w:pPr/>
      <w:r>
        <w:t xml:space="preserve">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w:t>
      </w:r>
    </w:p>
    <w:p>
      <w:pPr>
        <w:pStyle w:val="Heading2"/>
      </w:pPr>
      <w:r>
        <w:t>8.3 Enforcement Phase 3: Formal Review</w:t>
      </w:r>
    </w:p>
    <w:p>
      <w:pPr/>
      <w:r>
        <w:t xml:space="preserve">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w:t>
      </w:r>
    </w:p>
    <w:p>
      <w:pPr>
        <w:pStyle w:val="Heading2"/>
      </w:pPr>
      <w:r>
        <w:t>8.4 Enforcement Phase 4: Disciplinary Committee</w:t>
      </w:r>
    </w:p>
    <w:p>
      <w:pPr/>
      <w:r>
        <w:t xml:space="preserve">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w:t>
      </w:r>
    </w:p>
    <w:p>
      <w:pPr>
        <w:pStyle w:val="Heading2"/>
      </w:pPr>
      <w:r>
        <w:t>8.5 Enforcement Phase 5: Final Resolution</w:t>
      </w:r>
    </w:p>
    <w:p>
      <w:pPr/>
      <w:r>
        <w:t xml:space="preserve">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w:t>
      </w:r>
    </w:p>
    <w:p>
      <w:pPr>
        <w:pStyle w:val="Heading1"/>
      </w:pPr>
      <w:r>
        <w:t>9. Revision History</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2.0</w:t>
            </w:r>
          </w:p>
        </w:tc>
        <w:tc>
          <w:tcPr>
            <w:tcW w:type="dxa" w:w="1872"/>
          </w:tcPr>
          <w:p>
            <w:r>
              <w:rPr>
                <w:rFonts w:ascii="Calibri" w:hAnsi="Calibri"/>
                <w:color w:val="333333"/>
                <w:sz w:val="18"/>
              </w:rPr>
              <w:t>01 Aug 2026</w:t>
            </w:r>
          </w:p>
        </w:tc>
        <w:tc>
          <w:tcPr>
            <w:tcW w:type="dxa" w:w="2160"/>
          </w:tcPr>
          <w:p>
            <w:r>
              <w:rPr>
                <w:rFonts w:ascii="Calibri" w:hAnsi="Calibri"/>
                <w:color w:val="333333"/>
                <w:sz w:val="18"/>
              </w:rPr>
              <w:t>Chief Legal Officer</w:t>
            </w:r>
          </w:p>
        </w:tc>
        <w:tc>
          <w:tcPr>
            <w:tcW w:type="dxa" w:w="4320"/>
          </w:tcPr>
          <w:p>
            <w:r>
              <w:rPr>
                <w:rFonts w:ascii="Calibri" w:hAnsi="Calibri"/>
                <w:color w:val="333333"/>
                <w:sz w:val="18"/>
              </w:rPr>
              <w:t>Expanded jurisdiction coverage</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LEGAL-007</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