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Business Continuity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CORP-001</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Confidential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Operating Officer (COO)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Executive Officer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January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July 2026</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CORP-001</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Business Continuity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Confidential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Operating Officer (COO)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Chief Executive Officer (CEO)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January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July 2026</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Semi-Annual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Vistara Operations (12 locations)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1.3 (01 July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CORP-002, CORP-003, CORP-005, ENG-008, SEC-001, SEC-011, DATA-005</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Purpose and Scope</w:t>
      </w:r>
    </w:p>
    <w:p>
      <w:pPr/>
      <w:r>
        <w:t>The Business Continuity Policy (BCP) establishes the framework for Vistara Global Systems Pvt. Ltd. to ensure that critical business operations can be maintained or restored in a timely manner in the event of significant disruption. This policy applies to all 12 global locations and spans 1,087 employees.</w:t>
      </w:r>
    </w:p>
    <w:p>
      <w:pPr/>
      <w:r>
        <w:t>This is a foundational policy outlining strict crisis classifications, emergency procedures, and comprehensive BCP frameworks.</w:t>
      </w:r>
    </w:p>
    <w:p>
      <w:pPr>
        <w:pStyle w:val="Heading1"/>
      </w:pPr>
      <w:r>
        <w:t>2. BCP Governance</w:t>
      </w:r>
    </w:p>
    <w:p>
      <w:pPr/>
      <w:r>
        <w:t>The Business Continuity Committee (BCC) governs this policy, chaired by the COO.</w:t>
      </w:r>
    </w:p>
    <w:p>
      <w:pPr>
        <w:pStyle w:val="ListBullet"/>
      </w:pPr>
      <w:r>
        <w:t>Chair: Chief Operating Officer (COO)</w:t>
      </w:r>
    </w:p>
    <w:p>
      <w:pPr>
        <w:pStyle w:val="ListBullet"/>
      </w:pPr>
      <w:r>
        <w:t>Member: Chief Technology Officer (CTO)</w:t>
      </w:r>
    </w:p>
    <w:p>
      <w:pPr>
        <w:pStyle w:val="ListBullet"/>
      </w:pPr>
      <w:r>
        <w:t>Member: Chief Information Security Officer (CISO)</w:t>
      </w:r>
    </w:p>
    <w:p>
      <w:pPr>
        <w:pStyle w:val="ListBullet"/>
      </w:pPr>
      <w:r>
        <w:t>Member: Chief People Officer (CPO)</w:t>
      </w:r>
    </w:p>
    <w:p>
      <w:pPr>
        <w:pStyle w:val="ListBullet"/>
      </w:pPr>
      <w:r>
        <w:t>Member: Chief Financial Officer (CFO)</w:t>
      </w:r>
    </w:p>
    <w:p>
      <w:pPr>
        <w:pStyle w:val="Heading1"/>
      </w:pPr>
      <w:r>
        <w:t>3. Business Impact Analysis (BIA) Methodology</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r>
        <w:t>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SEC-012.The Business Impact Analysis evaluates critical impacts across financial, operational, reputational, and legal/regulatory dimensions. Vistara's RTO and RPO targets are per ENG-008. Vendor evaluations must run through SEC-012.</w:t>
      </w:r>
    </w:p>
    <w:p>
      <w:pPr>
        <w:pStyle w:val="Heading1"/>
      </w:pPr>
      <w:r>
        <w:t>4. Location-Specific Considerations</w:t>
      </w:r>
    </w:p>
    <w:p>
      <w:pPr>
        <w:pStyle w:val="Heading2"/>
      </w:pPr>
      <w:r>
        <w:t>4.1.0 Bengaluru (HQ) Continuity Plan</w:t>
      </w:r>
    </w:p>
    <w:p>
      <w:pPr/>
      <w:r>
        <w:t>Detailed procedures for Bengaluru (HQ):</w:t>
      </w:r>
    </w:p>
    <w:p>
      <w:pPr>
        <w:pStyle w:val="ListBullet"/>
      </w:pPr>
      <w:r>
        <w:t>Risk assessment specific to Bengaluru (HQ) (e.g., monsoon season for Mumbai/Chennai, earthquake risk for Delhi NCR, local regulatory needs for international sites).</w:t>
      </w:r>
    </w:p>
    <w:p>
      <w:pPr>
        <w:pStyle w:val="ListBullet"/>
      </w:pPr>
      <w:r>
        <w:t>Alternative workspace arrangements in case of primary facility unavailability.</w:t>
      </w:r>
    </w:p>
    <w:p>
      <w:pPr>
        <w:pStyle w:val="ListBullet"/>
      </w:pPr>
      <w:r>
        <w:t>Local BCP Coordinator assignment and emergency contact protocols.</w:t>
      </w:r>
    </w:p>
    <w:p>
      <w:pPr>
        <w:pStyle w:val="ListBullet"/>
      </w:pPr>
      <w:r>
        <w:t>Power redundancy and backup internet SLA requirements.</w:t>
      </w:r>
    </w:p>
    <w:p>
      <w:pPr>
        <w:pStyle w:val="ListBullet"/>
      </w:pPr>
      <w:r>
        <w:t>Evacuation staging areas and employee safety check-ins.</w:t>
      </w:r>
    </w:p>
    <w:p>
      <w:pPr>
        <w:pStyle w:val="ListBullet"/>
      </w:pPr>
      <w:r>
        <w:t>Pandemic resource stocking (masks, sanitizers, isolation rooms) for 100% capacity.</w:t>
      </w:r>
    </w:p>
    <w:p>
      <w:pPr>
        <w:pStyle w:val="ListBullet"/>
      </w:pPr>
      <w:r>
        <w:t>Regional communication cascades ensuring 15-minute notification times.</w:t>
      </w:r>
    </w:p>
    <w:p>
      <w:pPr/>
      <w:r>
        <w:t>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w:t>
      </w:r>
    </w:p>
    <w:p>
      <w:pPr>
        <w:pStyle w:val="Heading2"/>
      </w:pPr>
      <w:r>
        <w:t>4.1.1 Hyderabad Continuity Plan</w:t>
      </w:r>
    </w:p>
    <w:p>
      <w:pPr/>
      <w:r>
        <w:t>Detailed procedures for Hyderabad:</w:t>
      </w:r>
    </w:p>
    <w:p>
      <w:pPr>
        <w:pStyle w:val="ListBullet"/>
      </w:pPr>
      <w:r>
        <w:t>Risk assessment specific to Hyderabad (e.g., monsoon season for Mumbai/Chennai, earthquake risk for Delhi NCR, local regulatory needs for international sites).</w:t>
      </w:r>
    </w:p>
    <w:p>
      <w:pPr>
        <w:pStyle w:val="ListBullet"/>
      </w:pPr>
      <w:r>
        <w:t>Alternative workspace arrangements in case of primary facility unavailability.</w:t>
      </w:r>
    </w:p>
    <w:p>
      <w:pPr>
        <w:pStyle w:val="ListBullet"/>
      </w:pPr>
      <w:r>
        <w:t>Local BCP Coordinator assignment and emergency contact protocols.</w:t>
      </w:r>
    </w:p>
    <w:p>
      <w:pPr>
        <w:pStyle w:val="ListBullet"/>
      </w:pPr>
      <w:r>
        <w:t>Power redundancy and backup internet SLA requirements.</w:t>
      </w:r>
    </w:p>
    <w:p>
      <w:pPr>
        <w:pStyle w:val="ListBullet"/>
      </w:pPr>
      <w:r>
        <w:t>Evacuation staging areas and employee safety check-ins.</w:t>
      </w:r>
    </w:p>
    <w:p>
      <w:pPr>
        <w:pStyle w:val="ListBullet"/>
      </w:pPr>
      <w:r>
        <w:t>Pandemic resource stocking (masks, sanitizers, isolation rooms) for 100% capacity.</w:t>
      </w:r>
    </w:p>
    <w:p>
      <w:pPr>
        <w:pStyle w:val="ListBullet"/>
      </w:pPr>
      <w:r>
        <w:t>Regional communication cascades ensuring 15-minute notification times.</w:t>
      </w:r>
    </w:p>
    <w:p>
      <w:pPr/>
      <w:r>
        <w:t>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w:t>
      </w:r>
    </w:p>
    <w:p>
      <w:pPr>
        <w:pStyle w:val="Heading2"/>
      </w:pPr>
      <w:r>
        <w:t>4.1.2 Pune Continuity Plan</w:t>
      </w:r>
    </w:p>
    <w:p>
      <w:pPr/>
      <w:r>
        <w:t>Detailed procedures for Pune:</w:t>
      </w:r>
    </w:p>
    <w:p>
      <w:pPr>
        <w:pStyle w:val="ListBullet"/>
      </w:pPr>
      <w:r>
        <w:t>Risk assessment specific to Pune (e.g., monsoon season for Mumbai/Chennai, earthquake risk for Delhi NCR, local regulatory needs for international sites).</w:t>
      </w:r>
    </w:p>
    <w:p>
      <w:pPr>
        <w:pStyle w:val="ListBullet"/>
      </w:pPr>
      <w:r>
        <w:t>Alternative workspace arrangements in case of primary facility unavailability.</w:t>
      </w:r>
    </w:p>
    <w:p>
      <w:pPr>
        <w:pStyle w:val="ListBullet"/>
      </w:pPr>
      <w:r>
        <w:t>Local BCP Coordinator assignment and emergency contact protocols.</w:t>
      </w:r>
    </w:p>
    <w:p>
      <w:pPr>
        <w:pStyle w:val="ListBullet"/>
      </w:pPr>
      <w:r>
        <w:t>Power redundancy and backup internet SLA requirements.</w:t>
      </w:r>
    </w:p>
    <w:p>
      <w:pPr>
        <w:pStyle w:val="ListBullet"/>
      </w:pPr>
      <w:r>
        <w:t>Evacuation staging areas and employee safety check-ins.</w:t>
      </w:r>
    </w:p>
    <w:p>
      <w:pPr>
        <w:pStyle w:val="ListBullet"/>
      </w:pPr>
      <w:r>
        <w:t>Pandemic resource stocking (masks, sanitizers, isolation rooms) for 100% capacity.</w:t>
      </w:r>
    </w:p>
    <w:p>
      <w:pPr>
        <w:pStyle w:val="ListBullet"/>
      </w:pPr>
      <w:r>
        <w:t>Regional communication cascades ensuring 15-minute notification times.</w:t>
      </w:r>
    </w:p>
    <w:p>
      <w:pPr/>
      <w:r>
        <w:t>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w:t>
      </w:r>
    </w:p>
    <w:p>
      <w:pPr>
        <w:pStyle w:val="Heading2"/>
      </w:pPr>
      <w:r>
        <w:t>4.1.3 Mumbai Continuity Plan</w:t>
      </w:r>
    </w:p>
    <w:p>
      <w:pPr/>
      <w:r>
        <w:t>Detailed procedures for Mumbai:</w:t>
      </w:r>
    </w:p>
    <w:p>
      <w:pPr>
        <w:pStyle w:val="ListBullet"/>
      </w:pPr>
      <w:r>
        <w:t>Risk assessment specific to Mumbai (e.g., monsoon season for Mumbai/Chennai, earthquake risk for Delhi NCR, local regulatory needs for international sites).</w:t>
      </w:r>
    </w:p>
    <w:p>
      <w:pPr>
        <w:pStyle w:val="ListBullet"/>
      </w:pPr>
      <w:r>
        <w:t>Alternative workspace arrangements in case of primary facility unavailability.</w:t>
      </w:r>
    </w:p>
    <w:p>
      <w:pPr>
        <w:pStyle w:val="ListBullet"/>
      </w:pPr>
      <w:r>
        <w:t>Local BCP Coordinator assignment and emergency contact protocols.</w:t>
      </w:r>
    </w:p>
    <w:p>
      <w:pPr>
        <w:pStyle w:val="ListBullet"/>
      </w:pPr>
      <w:r>
        <w:t>Power redundancy and backup internet SLA requirements.</w:t>
      </w:r>
    </w:p>
    <w:p>
      <w:pPr>
        <w:pStyle w:val="ListBullet"/>
      </w:pPr>
      <w:r>
        <w:t>Evacuation staging areas and employee safety check-ins.</w:t>
      </w:r>
    </w:p>
    <w:p>
      <w:pPr>
        <w:pStyle w:val="ListBullet"/>
      </w:pPr>
      <w:r>
        <w:t>Pandemic resource stocking (masks, sanitizers, isolation rooms) for 100% capacity.</w:t>
      </w:r>
    </w:p>
    <w:p>
      <w:pPr>
        <w:pStyle w:val="ListBullet"/>
      </w:pPr>
      <w:r>
        <w:t>Regional communication cascades ensuring 15-minute notification times.</w:t>
      </w:r>
    </w:p>
    <w:p>
      <w:pPr/>
      <w:r>
        <w:t>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w:t>
      </w:r>
    </w:p>
    <w:p>
      <w:pPr>
        <w:pStyle w:val="Heading2"/>
      </w:pPr>
      <w:r>
        <w:t>4.1.4 Gurugram Continuity Plan</w:t>
      </w:r>
    </w:p>
    <w:p>
      <w:pPr/>
      <w:r>
        <w:t>Detailed procedures for Gurugram:</w:t>
      </w:r>
    </w:p>
    <w:p>
      <w:pPr>
        <w:pStyle w:val="ListBullet"/>
      </w:pPr>
      <w:r>
        <w:t>Risk assessment specific to Gurugram (e.g., monsoon season for Mumbai/Chennai, earthquake risk for Delhi NCR, local regulatory needs for international sites).</w:t>
      </w:r>
    </w:p>
    <w:p>
      <w:pPr>
        <w:pStyle w:val="ListBullet"/>
      </w:pPr>
      <w:r>
        <w:t>Alternative workspace arrangements in case of primary facility unavailability.</w:t>
      </w:r>
    </w:p>
    <w:p>
      <w:pPr>
        <w:pStyle w:val="ListBullet"/>
      </w:pPr>
      <w:r>
        <w:t>Local BCP Coordinator assignment and emergency contact protocols.</w:t>
      </w:r>
    </w:p>
    <w:p>
      <w:pPr>
        <w:pStyle w:val="ListBullet"/>
      </w:pPr>
      <w:r>
        <w:t>Power redundancy and backup internet SLA requirements.</w:t>
      </w:r>
    </w:p>
    <w:p>
      <w:pPr>
        <w:pStyle w:val="ListBullet"/>
      </w:pPr>
      <w:r>
        <w:t>Evacuation staging areas and employee safety check-ins.</w:t>
      </w:r>
    </w:p>
    <w:p>
      <w:pPr>
        <w:pStyle w:val="ListBullet"/>
      </w:pPr>
      <w:r>
        <w:t>Pandemic resource stocking (masks, sanitizers, isolation rooms) for 100% capacity.</w:t>
      </w:r>
    </w:p>
    <w:p>
      <w:pPr>
        <w:pStyle w:val="ListBullet"/>
      </w:pPr>
      <w:r>
        <w:t>Regional communication cascades ensuring 15-minute notification times.</w:t>
      </w:r>
    </w:p>
    <w:p>
      <w:pPr/>
      <w:r>
        <w:t>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w:t>
      </w:r>
    </w:p>
    <w:p>
      <w:pPr>
        <w:pStyle w:val="Heading2"/>
      </w:pPr>
      <w:r>
        <w:t>4.1.5 Chennai Continuity Plan</w:t>
      </w:r>
    </w:p>
    <w:p>
      <w:pPr/>
      <w:r>
        <w:t>Detailed procedures for Chennai:</w:t>
      </w:r>
    </w:p>
    <w:p>
      <w:pPr>
        <w:pStyle w:val="ListBullet"/>
      </w:pPr>
      <w:r>
        <w:t>Risk assessment specific to Chennai (e.g., monsoon season for Mumbai/Chennai, earthquake risk for Delhi NCR, local regulatory needs for international sites).</w:t>
      </w:r>
    </w:p>
    <w:p>
      <w:pPr>
        <w:pStyle w:val="ListBullet"/>
      </w:pPr>
      <w:r>
        <w:t>Alternative workspace arrangements in case of primary facility unavailability.</w:t>
      </w:r>
    </w:p>
    <w:p>
      <w:pPr>
        <w:pStyle w:val="ListBullet"/>
      </w:pPr>
      <w:r>
        <w:t>Local BCP Coordinator assignment and emergency contact protocols.</w:t>
      </w:r>
    </w:p>
    <w:p>
      <w:pPr>
        <w:pStyle w:val="ListBullet"/>
      </w:pPr>
      <w:r>
        <w:t>Power redundancy and backup internet SLA requirements.</w:t>
      </w:r>
    </w:p>
    <w:p>
      <w:pPr>
        <w:pStyle w:val="ListBullet"/>
      </w:pPr>
      <w:r>
        <w:t>Evacuation staging areas and employee safety check-ins.</w:t>
      </w:r>
    </w:p>
    <w:p>
      <w:pPr>
        <w:pStyle w:val="ListBullet"/>
      </w:pPr>
      <w:r>
        <w:t>Pandemic resource stocking (masks, sanitizers, isolation rooms) for 100% capacity.</w:t>
      </w:r>
    </w:p>
    <w:p>
      <w:pPr>
        <w:pStyle w:val="ListBullet"/>
      </w:pPr>
      <w:r>
        <w:t>Regional communication cascades ensuring 15-minute notification times.</w:t>
      </w:r>
    </w:p>
    <w:p>
      <w:pPr/>
      <w:r>
        <w:t>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w:t>
      </w:r>
    </w:p>
    <w:p>
      <w:pPr>
        <w:pStyle w:val="Heading2"/>
      </w:pPr>
      <w:r>
        <w:t>4.1.6 Kolkata Continuity Plan</w:t>
      </w:r>
    </w:p>
    <w:p>
      <w:pPr/>
      <w:r>
        <w:t>Detailed procedures for Kolkata:</w:t>
      </w:r>
    </w:p>
    <w:p>
      <w:pPr>
        <w:pStyle w:val="ListBullet"/>
      </w:pPr>
      <w:r>
        <w:t>Risk assessment specific to Kolkata (e.g., monsoon season for Mumbai/Chennai, earthquake risk for Delhi NCR, local regulatory needs for international sites).</w:t>
      </w:r>
    </w:p>
    <w:p>
      <w:pPr>
        <w:pStyle w:val="ListBullet"/>
      </w:pPr>
      <w:r>
        <w:t>Alternative workspace arrangements in case of primary facility unavailability.</w:t>
      </w:r>
    </w:p>
    <w:p>
      <w:pPr>
        <w:pStyle w:val="ListBullet"/>
      </w:pPr>
      <w:r>
        <w:t>Local BCP Coordinator assignment and emergency contact protocols.</w:t>
      </w:r>
    </w:p>
    <w:p>
      <w:pPr>
        <w:pStyle w:val="ListBullet"/>
      </w:pPr>
      <w:r>
        <w:t>Power redundancy and backup internet SLA requirements.</w:t>
      </w:r>
    </w:p>
    <w:p>
      <w:pPr>
        <w:pStyle w:val="ListBullet"/>
      </w:pPr>
      <w:r>
        <w:t>Evacuation staging areas and employee safety check-ins.</w:t>
      </w:r>
    </w:p>
    <w:p>
      <w:pPr>
        <w:pStyle w:val="ListBullet"/>
      </w:pPr>
      <w:r>
        <w:t>Pandemic resource stocking (masks, sanitizers, isolation rooms) for 100% capacity.</w:t>
      </w:r>
    </w:p>
    <w:p>
      <w:pPr>
        <w:pStyle w:val="ListBullet"/>
      </w:pPr>
      <w:r>
        <w:t>Regional communication cascades ensuring 15-minute notification times.</w:t>
      </w:r>
    </w:p>
    <w:p>
      <w:pPr/>
      <w:r>
        <w:t>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w:t>
      </w:r>
    </w:p>
    <w:p>
      <w:pPr>
        <w:pStyle w:val="Heading2"/>
      </w:pPr>
      <w:r>
        <w:t>4.1.7 New Delhi Continuity Plan</w:t>
      </w:r>
    </w:p>
    <w:p>
      <w:pPr/>
      <w:r>
        <w:t>Detailed procedures for New Delhi:</w:t>
      </w:r>
    </w:p>
    <w:p>
      <w:pPr>
        <w:pStyle w:val="ListBullet"/>
      </w:pPr>
      <w:r>
        <w:t>Risk assessment specific to New Delhi (e.g., monsoon season for Mumbai/Chennai, earthquake risk for Delhi NCR, local regulatory needs for international sites).</w:t>
      </w:r>
    </w:p>
    <w:p>
      <w:pPr>
        <w:pStyle w:val="ListBullet"/>
      </w:pPr>
      <w:r>
        <w:t>Alternative workspace arrangements in case of primary facility unavailability.</w:t>
      </w:r>
    </w:p>
    <w:p>
      <w:pPr>
        <w:pStyle w:val="ListBullet"/>
      </w:pPr>
      <w:r>
        <w:t>Local BCP Coordinator assignment and emergency contact protocols.</w:t>
      </w:r>
    </w:p>
    <w:p>
      <w:pPr>
        <w:pStyle w:val="ListBullet"/>
      </w:pPr>
      <w:r>
        <w:t>Power redundancy and backup internet SLA requirements.</w:t>
      </w:r>
    </w:p>
    <w:p>
      <w:pPr>
        <w:pStyle w:val="ListBullet"/>
      </w:pPr>
      <w:r>
        <w:t>Evacuation staging areas and employee safety check-ins.</w:t>
      </w:r>
    </w:p>
    <w:p>
      <w:pPr>
        <w:pStyle w:val="ListBullet"/>
      </w:pPr>
      <w:r>
        <w:t>Pandemic resource stocking (masks, sanitizers, isolation rooms) for 100% capacity.</w:t>
      </w:r>
    </w:p>
    <w:p>
      <w:pPr>
        <w:pStyle w:val="ListBullet"/>
      </w:pPr>
      <w:r>
        <w:t>Regional communication cascades ensuring 15-minute notification times.</w:t>
      </w:r>
    </w:p>
    <w:p>
      <w:pPr/>
      <w:r>
        <w:t>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w:t>
      </w:r>
    </w:p>
    <w:p>
      <w:pPr>
        <w:pStyle w:val="Heading2"/>
      </w:pPr>
      <w:r>
        <w:t>4.1.8 Singapore Continuity Plan</w:t>
      </w:r>
    </w:p>
    <w:p>
      <w:pPr/>
      <w:r>
        <w:t>Detailed procedures for Singapore:</w:t>
      </w:r>
    </w:p>
    <w:p>
      <w:pPr>
        <w:pStyle w:val="ListBullet"/>
      </w:pPr>
      <w:r>
        <w:t>Risk assessment specific to Singapore (e.g., monsoon season for Mumbai/Chennai, earthquake risk for Delhi NCR, local regulatory needs for international sites).</w:t>
      </w:r>
    </w:p>
    <w:p>
      <w:pPr>
        <w:pStyle w:val="ListBullet"/>
      </w:pPr>
      <w:r>
        <w:t>Alternative workspace arrangements in case of primary facility unavailability.</w:t>
      </w:r>
    </w:p>
    <w:p>
      <w:pPr>
        <w:pStyle w:val="ListBullet"/>
      </w:pPr>
      <w:r>
        <w:t>Local BCP Coordinator assignment and emergency contact protocols.</w:t>
      </w:r>
    </w:p>
    <w:p>
      <w:pPr>
        <w:pStyle w:val="ListBullet"/>
      </w:pPr>
      <w:r>
        <w:t>Power redundancy and backup internet SLA requirements.</w:t>
      </w:r>
    </w:p>
    <w:p>
      <w:pPr>
        <w:pStyle w:val="ListBullet"/>
      </w:pPr>
      <w:r>
        <w:t>Evacuation staging areas and employee safety check-ins.</w:t>
      </w:r>
    </w:p>
    <w:p>
      <w:pPr>
        <w:pStyle w:val="ListBullet"/>
      </w:pPr>
      <w:r>
        <w:t>Pandemic resource stocking (masks, sanitizers, isolation rooms) for 100% capacity.</w:t>
      </w:r>
    </w:p>
    <w:p>
      <w:pPr>
        <w:pStyle w:val="ListBullet"/>
      </w:pPr>
      <w:r>
        <w:t>Regional communication cascades ensuring 15-minute notification times.</w:t>
      </w:r>
    </w:p>
    <w:p>
      <w:pPr/>
      <w:r>
        <w:t>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w:t>
      </w:r>
    </w:p>
    <w:p>
      <w:pPr>
        <w:pStyle w:val="Heading2"/>
      </w:pPr>
      <w:r>
        <w:t>4.1.9 Dubai Continuity Plan</w:t>
      </w:r>
    </w:p>
    <w:p>
      <w:pPr/>
      <w:r>
        <w:t>Detailed procedures for Dubai:</w:t>
      </w:r>
    </w:p>
    <w:p>
      <w:pPr>
        <w:pStyle w:val="ListBullet"/>
      </w:pPr>
      <w:r>
        <w:t>Risk assessment specific to Dubai (e.g., monsoon season for Mumbai/Chennai, earthquake risk for Delhi NCR, local regulatory needs for international sites).</w:t>
      </w:r>
    </w:p>
    <w:p>
      <w:pPr>
        <w:pStyle w:val="ListBullet"/>
      </w:pPr>
      <w:r>
        <w:t>Alternative workspace arrangements in case of primary facility unavailability.</w:t>
      </w:r>
    </w:p>
    <w:p>
      <w:pPr>
        <w:pStyle w:val="ListBullet"/>
      </w:pPr>
      <w:r>
        <w:t>Local BCP Coordinator assignment and emergency contact protocols.</w:t>
      </w:r>
    </w:p>
    <w:p>
      <w:pPr>
        <w:pStyle w:val="ListBullet"/>
      </w:pPr>
      <w:r>
        <w:t>Power redundancy and backup internet SLA requirements.</w:t>
      </w:r>
    </w:p>
    <w:p>
      <w:pPr>
        <w:pStyle w:val="ListBullet"/>
      </w:pPr>
      <w:r>
        <w:t>Evacuation staging areas and employee safety check-ins.</w:t>
      </w:r>
    </w:p>
    <w:p>
      <w:pPr>
        <w:pStyle w:val="ListBullet"/>
      </w:pPr>
      <w:r>
        <w:t>Pandemic resource stocking (masks, sanitizers, isolation rooms) for 100% capacity.</w:t>
      </w:r>
    </w:p>
    <w:p>
      <w:pPr>
        <w:pStyle w:val="ListBullet"/>
      </w:pPr>
      <w:r>
        <w:t>Regional communication cascades ensuring 15-minute notification times.</w:t>
      </w:r>
    </w:p>
    <w:p>
      <w:pPr/>
      <w:r>
        <w:t>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w:t>
      </w:r>
    </w:p>
    <w:p>
      <w:pPr>
        <w:pStyle w:val="Heading2"/>
      </w:pPr>
      <w:r>
        <w:t>4.1.10 London Continuity Plan</w:t>
      </w:r>
    </w:p>
    <w:p>
      <w:pPr/>
      <w:r>
        <w:t>Detailed procedures for London:</w:t>
      </w:r>
    </w:p>
    <w:p>
      <w:pPr>
        <w:pStyle w:val="ListBullet"/>
      </w:pPr>
      <w:r>
        <w:t>Risk assessment specific to London (e.g., monsoon season for Mumbai/Chennai, earthquake risk for Delhi NCR, local regulatory needs for international sites).</w:t>
      </w:r>
    </w:p>
    <w:p>
      <w:pPr>
        <w:pStyle w:val="ListBullet"/>
      </w:pPr>
      <w:r>
        <w:t>Alternative workspace arrangements in case of primary facility unavailability.</w:t>
      </w:r>
    </w:p>
    <w:p>
      <w:pPr>
        <w:pStyle w:val="ListBullet"/>
      </w:pPr>
      <w:r>
        <w:t>Local BCP Coordinator assignment and emergency contact protocols.</w:t>
      </w:r>
    </w:p>
    <w:p>
      <w:pPr>
        <w:pStyle w:val="ListBullet"/>
      </w:pPr>
      <w:r>
        <w:t>Power redundancy and backup internet SLA requirements.</w:t>
      </w:r>
    </w:p>
    <w:p>
      <w:pPr>
        <w:pStyle w:val="ListBullet"/>
      </w:pPr>
      <w:r>
        <w:t>Evacuation staging areas and employee safety check-ins.</w:t>
      </w:r>
    </w:p>
    <w:p>
      <w:pPr>
        <w:pStyle w:val="ListBullet"/>
      </w:pPr>
      <w:r>
        <w:t>Pandemic resource stocking (masks, sanitizers, isolation rooms) for 100% capacity.</w:t>
      </w:r>
    </w:p>
    <w:p>
      <w:pPr>
        <w:pStyle w:val="ListBullet"/>
      </w:pPr>
      <w:r>
        <w:t>Regional communication cascades ensuring 15-minute notification times.</w:t>
      </w:r>
    </w:p>
    <w:p>
      <w:pPr/>
      <w:r>
        <w:t>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w:t>
      </w:r>
    </w:p>
    <w:p>
      <w:pPr>
        <w:pStyle w:val="Heading2"/>
      </w:pPr>
      <w:r>
        <w:t>4.1.11 Austin Continuity Plan</w:t>
      </w:r>
    </w:p>
    <w:p>
      <w:pPr/>
      <w:r>
        <w:t>Detailed procedures for Austin:</w:t>
      </w:r>
    </w:p>
    <w:p>
      <w:pPr>
        <w:pStyle w:val="ListBullet"/>
      </w:pPr>
      <w:r>
        <w:t>Risk assessment specific to Austin (e.g., monsoon season for Mumbai/Chennai, earthquake risk for Delhi NCR, local regulatory needs for international sites).</w:t>
      </w:r>
    </w:p>
    <w:p>
      <w:pPr>
        <w:pStyle w:val="ListBullet"/>
      </w:pPr>
      <w:r>
        <w:t>Alternative workspace arrangements in case of primary facility unavailability.</w:t>
      </w:r>
    </w:p>
    <w:p>
      <w:pPr>
        <w:pStyle w:val="ListBullet"/>
      </w:pPr>
      <w:r>
        <w:t>Local BCP Coordinator assignment and emergency contact protocols.</w:t>
      </w:r>
    </w:p>
    <w:p>
      <w:pPr>
        <w:pStyle w:val="ListBullet"/>
      </w:pPr>
      <w:r>
        <w:t>Power redundancy and backup internet SLA requirements.</w:t>
      </w:r>
    </w:p>
    <w:p>
      <w:pPr>
        <w:pStyle w:val="ListBullet"/>
      </w:pPr>
      <w:r>
        <w:t>Evacuation staging areas and employee safety check-ins.</w:t>
      </w:r>
    </w:p>
    <w:p>
      <w:pPr>
        <w:pStyle w:val="ListBullet"/>
      </w:pPr>
      <w:r>
        <w:t>Pandemic resource stocking (masks, sanitizers, isolation rooms) for 100% capacity.</w:t>
      </w:r>
    </w:p>
    <w:p>
      <w:pPr>
        <w:pStyle w:val="ListBullet"/>
      </w:pPr>
      <w:r>
        <w:t>Regional communication cascades ensuring 15-minute notification times.</w:t>
      </w:r>
    </w:p>
    <w:p>
      <w:pPr/>
      <w:r>
        <w:t>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collapse.In the event of an activation, local leads must immediately notify the central BCC. Continual updates will be provided via emergency notification systems and backup satellite phones for severe infrastructural collapse.</w:t>
      </w:r>
    </w:p>
    <w:p>
      <w:pPr>
        <w:pStyle w:val="Heading1"/>
      </w:pPr>
      <w:r>
        <w:t>5. Activation Triggers and Levels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val="clear"/>
          </w:tcPr>
          <w:p>
            <w:pPr>
              <w:jc w:val="center"/>
            </w:pPr>
            <w:r>
              <w:rPr>
                <w:rFonts w:ascii="Calibri" w:hAnsi="Calibri"/>
                <w:b/>
                <w:color w:val="FFFFFF"/>
                <w:sz w:val="20"/>
              </w:rPr>
              <w:t>Level</w:t>
            </w:r>
          </w:p>
        </w:tc>
        <w:tc>
          <w:tcPr>
            <w:tcW w:type="dxa" w:w="2340"/>
            <w:shd w:fill="1B3A5C" w:val="clear"/>
          </w:tcPr>
          <w:p>
            <w:pPr>
              <w:jc w:val="center"/>
            </w:pPr>
            <w:r>
              <w:rPr>
                <w:rFonts w:ascii="Calibri" w:hAnsi="Calibri"/>
                <w:b/>
                <w:color w:val="FFFFFF"/>
                <w:sz w:val="20"/>
              </w:rPr>
              <w:t>Scope</w:t>
            </w:r>
          </w:p>
        </w:tc>
        <w:tc>
          <w:tcPr>
            <w:tcW w:type="dxa" w:w="2340"/>
            <w:shd w:fill="1B3A5C" w:val="clear"/>
          </w:tcPr>
          <w:p>
            <w:pPr>
              <w:jc w:val="center"/>
            </w:pPr>
            <w:r>
              <w:rPr>
                <w:rFonts w:ascii="Calibri" w:hAnsi="Calibri"/>
                <w:b/>
                <w:color w:val="FFFFFF"/>
                <w:sz w:val="20"/>
              </w:rPr>
              <w:t>Authority</w:t>
            </w:r>
          </w:p>
        </w:tc>
        <w:tc>
          <w:tcPr>
            <w:tcW w:type="dxa" w:w="2340"/>
            <w:shd w:fill="1B3A5C" w:val="clear"/>
          </w:tcPr>
          <w:p>
            <w:pPr>
              <w:jc w:val="center"/>
            </w:pPr>
            <w:r>
              <w:rPr>
                <w:rFonts w:ascii="Calibri" w:hAnsi="Calibri"/>
                <w:b/>
                <w:color w:val="FFFFFF"/>
                <w:sz w:val="20"/>
              </w:rPr>
              <w:t>Impact</w:t>
            </w:r>
          </w:p>
        </w:tc>
      </w:tr>
      <w:tr>
        <w:tc>
          <w:tcPr>
            <w:tcW w:type="dxa" w:w="2340"/>
          </w:tcPr>
          <w:p>
            <w:r>
              <w:rPr>
                <w:rFonts w:ascii="Calibri" w:hAnsi="Calibri"/>
                <w:color w:val="333333"/>
                <w:sz w:val="18"/>
              </w:rPr>
              <w:t>Level 1</w:t>
            </w:r>
          </w:p>
        </w:tc>
        <w:tc>
          <w:tcPr>
            <w:tcW w:type="dxa" w:w="2340"/>
          </w:tcPr>
          <w:p>
            <w:r>
              <w:rPr>
                <w:rFonts w:ascii="Calibri" w:hAnsi="Calibri"/>
                <w:color w:val="333333"/>
                <w:sz w:val="18"/>
              </w:rPr>
              <w:t>Department Impact</w:t>
            </w:r>
          </w:p>
        </w:tc>
        <w:tc>
          <w:tcPr>
            <w:tcW w:type="dxa" w:w="2340"/>
          </w:tcPr>
          <w:p>
            <w:r>
              <w:rPr>
                <w:rFonts w:ascii="Calibri" w:hAnsi="Calibri"/>
                <w:color w:val="333333"/>
                <w:sz w:val="18"/>
              </w:rPr>
              <w:t>Managed by Dept Lead</w:t>
            </w:r>
          </w:p>
        </w:tc>
        <w:tc>
          <w:tcPr>
            <w:tcW w:type="dxa" w:w="2340"/>
          </w:tcPr>
          <w:p>
            <w:r>
              <w:rPr>
                <w:rFonts w:ascii="Calibri" w:hAnsi="Calibri"/>
                <w:color w:val="333333"/>
                <w:sz w:val="18"/>
              </w:rPr>
              <w:t>Resolution in &lt;4 hrs</w:t>
            </w:r>
          </w:p>
        </w:tc>
      </w:tr>
      <w:tr>
        <w:tc>
          <w:tcPr>
            <w:tcW w:type="dxa" w:w="2340"/>
            <w:shd w:fill="F2F6FA" w:val="clear"/>
          </w:tcPr>
          <w:p>
            <w:r>
              <w:rPr>
                <w:rFonts w:ascii="Calibri" w:hAnsi="Calibri"/>
                <w:color w:val="333333"/>
                <w:sz w:val="18"/>
              </w:rPr>
              <w:t>Level 2</w:t>
            </w:r>
          </w:p>
        </w:tc>
        <w:tc>
          <w:tcPr>
            <w:tcW w:type="dxa" w:w="2340"/>
            <w:shd w:fill="F2F6FA" w:val="clear"/>
          </w:tcPr>
          <w:p>
            <w:r>
              <w:rPr>
                <w:rFonts w:ascii="Calibri" w:hAnsi="Calibri"/>
                <w:color w:val="333333"/>
                <w:sz w:val="18"/>
              </w:rPr>
              <w:t>Single Location</w:t>
            </w:r>
          </w:p>
        </w:tc>
        <w:tc>
          <w:tcPr>
            <w:tcW w:type="dxa" w:w="2340"/>
            <w:shd w:fill="F2F6FA" w:val="clear"/>
          </w:tcPr>
          <w:p>
            <w:r>
              <w:rPr>
                <w:rFonts w:ascii="Calibri" w:hAnsi="Calibri"/>
                <w:color w:val="333333"/>
                <w:sz w:val="18"/>
              </w:rPr>
              <w:t>Local BCP Coordinator</w:t>
            </w:r>
          </w:p>
        </w:tc>
        <w:tc>
          <w:tcPr>
            <w:tcW w:type="dxa" w:w="2340"/>
            <w:shd w:fill="F2F6FA" w:val="clear"/>
          </w:tcPr>
          <w:p>
            <w:r>
              <w:rPr>
                <w:rFonts w:ascii="Calibri" w:hAnsi="Calibri"/>
                <w:color w:val="333333"/>
                <w:sz w:val="18"/>
              </w:rPr>
              <w:t>Resolution in &lt;12 hrs</w:t>
            </w:r>
          </w:p>
        </w:tc>
      </w:tr>
      <w:tr>
        <w:tc>
          <w:tcPr>
            <w:tcW w:type="dxa" w:w="2340"/>
          </w:tcPr>
          <w:p>
            <w:r>
              <w:rPr>
                <w:rFonts w:ascii="Calibri" w:hAnsi="Calibri"/>
                <w:color w:val="333333"/>
                <w:sz w:val="18"/>
              </w:rPr>
              <w:t>Level 3</w:t>
            </w:r>
          </w:p>
        </w:tc>
        <w:tc>
          <w:tcPr>
            <w:tcW w:type="dxa" w:w="2340"/>
          </w:tcPr>
          <w:p>
            <w:r>
              <w:rPr>
                <w:rFonts w:ascii="Calibri" w:hAnsi="Calibri"/>
                <w:color w:val="333333"/>
                <w:sz w:val="18"/>
              </w:rPr>
              <w:t>Multiple Locations</w:t>
            </w:r>
          </w:p>
        </w:tc>
        <w:tc>
          <w:tcPr>
            <w:tcW w:type="dxa" w:w="2340"/>
          </w:tcPr>
          <w:p>
            <w:r>
              <w:rPr>
                <w:rFonts w:ascii="Calibri" w:hAnsi="Calibri"/>
                <w:color w:val="333333"/>
                <w:sz w:val="18"/>
              </w:rPr>
              <w:t>BCC Activation</w:t>
            </w:r>
          </w:p>
        </w:tc>
        <w:tc>
          <w:tcPr>
            <w:tcW w:type="dxa" w:w="2340"/>
          </w:tcPr>
          <w:p>
            <w:r>
              <w:rPr>
                <w:rFonts w:ascii="Calibri" w:hAnsi="Calibri"/>
                <w:color w:val="333333"/>
                <w:sz w:val="18"/>
              </w:rPr>
              <w:t>Significant disruption</w:t>
            </w:r>
          </w:p>
        </w:tc>
      </w:tr>
      <w:tr>
        <w:tc>
          <w:tcPr>
            <w:tcW w:type="dxa" w:w="2340"/>
            <w:shd w:fill="F2F6FA" w:val="clear"/>
          </w:tcPr>
          <w:p>
            <w:r>
              <w:rPr>
                <w:rFonts w:ascii="Calibri" w:hAnsi="Calibri"/>
                <w:color w:val="333333"/>
                <w:sz w:val="18"/>
              </w:rPr>
              <w:t>Level 4</w:t>
            </w:r>
          </w:p>
        </w:tc>
        <w:tc>
          <w:tcPr>
            <w:tcW w:type="dxa" w:w="2340"/>
            <w:shd w:fill="F2F6FA" w:val="clear"/>
          </w:tcPr>
          <w:p>
            <w:r>
              <w:rPr>
                <w:rFonts w:ascii="Calibri" w:hAnsi="Calibri"/>
                <w:color w:val="333333"/>
                <w:sz w:val="18"/>
              </w:rPr>
              <w:t>Company-wide</w:t>
            </w:r>
          </w:p>
        </w:tc>
        <w:tc>
          <w:tcPr>
            <w:tcW w:type="dxa" w:w="2340"/>
            <w:shd w:fill="F2F6FA" w:val="clear"/>
          </w:tcPr>
          <w:p>
            <w:r>
              <w:rPr>
                <w:rFonts w:ascii="Calibri" w:hAnsi="Calibri"/>
                <w:color w:val="333333"/>
                <w:sz w:val="18"/>
              </w:rPr>
              <w:t>CEO + BCC Full Activation</w:t>
            </w:r>
          </w:p>
        </w:tc>
        <w:tc>
          <w:tcPr>
            <w:tcW w:type="dxa" w:w="2340"/>
            <w:shd w:fill="F2F6FA" w:val="clear"/>
          </w:tcPr>
          <w:p>
            <w:r>
              <w:rPr>
                <w:rFonts w:ascii="Calibri" w:hAnsi="Calibri"/>
                <w:color w:val="333333"/>
                <w:sz w:val="18"/>
              </w:rPr>
              <w:t>Existential threat</w:t>
            </w:r>
          </w:p>
        </w:tc>
      </w:tr>
    </w:tbl>
    <w:p/>
    <w:p>
      <w:pPr>
        <w:pStyle w:val="Heading1"/>
      </w:pPr>
      <w:r>
        <w:t>6. Communication Plan</w:t>
      </w:r>
    </w:p>
    <w:p>
      <w:pPr/>
      <w:r>
        <w:t>Employee notification within 30 minutes. Customer notification within 4 hours. Regulatory notification as required by local jurisdictions.</w:t>
      </w:r>
    </w:p>
    <w:p>
      <w:pPr>
        <w:pStyle w:val="Heading1"/>
      </w:pPr>
      <w:r>
        <w:t>7. Testing and Exercises</w:t>
      </w:r>
    </w:p>
    <w:p>
      <w:pPr/>
      <w:r>
        <w:t>Quarterly tabletop, annual partial activation, biennial full activation.</w:t>
      </w:r>
    </w:p>
    <w:p>
      <w:pPr>
        <w:pStyle w:val="Heading1"/>
      </w:pPr>
      <w:r>
        <w:t>8. Frequently Asked Questions (FAQ)</w:t>
      </w:r>
    </w:p>
    <w:p>
      <w:r>
        <w:rPr>
          <w:rFonts w:ascii="Calibri" w:hAnsi="Calibri"/>
          <w:b/>
          <w:color w:val="1B3A5C"/>
          <w:sz w:val="22"/>
        </w:rPr>
        <w:t>Q: What should an employee do if their primary facility is inaccessible during a Level 2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3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4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1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2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3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4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1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2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3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4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1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2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3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4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1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2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3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4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r>
        <w:rPr>
          <w:rFonts w:ascii="Calibri" w:hAnsi="Calibri"/>
          <w:b/>
          <w:color w:val="1B3A5C"/>
          <w:sz w:val="22"/>
        </w:rPr>
        <w:t>Q: What should an employee do if their primary facility is inaccessible during a Level 1 event?</w:t>
      </w:r>
    </w:p>
    <w:p>
      <w:pPr>
        <w:spacing w:after="240"/>
      </w:pPr>
      <w:r>
        <w:rPr>
          <w:rFonts w:ascii="Calibri" w:hAnsi="Calibri"/>
          <w:color w:val="333333"/>
          <w:sz w:val="22"/>
        </w:rPr>
        <w:t>A: Employees should await instructions via the emergency mass notification system (SMS and App push). Under no circumstances should they travel to the site until cleared by the Local BCP Coordinator.</w:t>
      </w:r>
    </w:p>
    <w:p>
      <w:pPr>
        <w:pStyle w:val="Heading1"/>
      </w:pPr>
      <w:r>
        <w:t>9. BCP Scenarios</w:t>
      </w:r>
    </w:p>
    <w:p>
      <w:pPr>
        <w:pStyle w:val="Heading3"/>
      </w:pPr>
      <w:r>
        <w:t>Scenario 1: Pandemic Outbreak</w:t>
      </w:r>
    </w:p>
    <w:p>
      <w:r>
        <w:rPr>
          <w:b/>
          <w:color w:val="1B3A5C"/>
        </w:rPr>
        <w:t xml:space="preserve">Situation: </w:t>
      </w:r>
      <w:r>
        <w:t>Widespread illness affects 40% of workforce.</w:t>
      </w:r>
    </w:p>
    <w:p>
      <w:r>
        <w:rPr>
          <w:b/>
          <w:color w:val="1B3A5C"/>
        </w:rPr>
        <w:t xml:space="preserve">Relevant Requirements: </w:t>
      </w:r>
      <w:r>
        <w:t>HR-005 Remote Work Activation</w:t>
      </w:r>
    </w:p>
    <w:p>
      <w:r>
        <w:rPr>
          <w:b/>
          <w:color w:val="1B3A5C"/>
        </w:rPr>
        <w:t xml:space="preserve">Expected Process: </w:t>
      </w:r>
      <w:r>
        <w:t>Follow prescribed emergency playbook.</w:t>
      </w:r>
    </w:p>
    <w:p>
      <w:r>
        <w:rPr>
          <w:b/>
          <w:color w:val="1B3A5C"/>
        </w:rPr>
        <w:t xml:space="preserve">Outcome: </w:t>
      </w:r>
      <w:r>
        <w:t>Immediate transition to mandatory WFH for all non-essential staff.</w:t>
      </w:r>
    </w:p>
    <w:p/>
    <w:p>
      <w:pPr>
        <w:pStyle w:val="Heading3"/>
      </w:pPr>
      <w:r>
        <w:t>Scenario 2: Natural Disaster</w:t>
      </w:r>
    </w:p>
    <w:p>
      <w:r>
        <w:rPr>
          <w:b/>
          <w:color w:val="1B3A5C"/>
        </w:rPr>
        <w:t xml:space="preserve">Situation: </w:t>
      </w:r>
      <w:r>
        <w:t>Category 4 Cyclone impacts Chennai.</w:t>
      </w:r>
    </w:p>
    <w:p>
      <w:r>
        <w:rPr>
          <w:b/>
          <w:color w:val="1B3A5C"/>
        </w:rPr>
        <w:t xml:space="preserve">Relevant Requirements: </w:t>
      </w:r>
      <w:r>
        <w:t>Facility shutdown protocols</w:t>
      </w:r>
    </w:p>
    <w:p>
      <w:r>
        <w:rPr>
          <w:b/>
          <w:color w:val="1B3A5C"/>
        </w:rPr>
        <w:t xml:space="preserve">Expected Process: </w:t>
      </w:r>
      <w:r>
        <w:t>Follow prescribed emergency playbook.</w:t>
      </w:r>
    </w:p>
    <w:p>
      <w:r>
        <w:rPr>
          <w:b/>
          <w:color w:val="1B3A5C"/>
        </w:rPr>
        <w:t xml:space="preserve">Outcome: </w:t>
      </w:r>
      <w:r>
        <w:t>Invoke alternate routing to Hyderabad/Bengaluru data centers. Chennai staff shelter in place.</w:t>
      </w:r>
    </w:p>
    <w:p/>
    <w:p>
      <w:pPr>
        <w:pStyle w:val="Heading3"/>
      </w:pPr>
      <w:r>
        <w:t>Scenario 3: Cyber Incident</w:t>
      </w:r>
    </w:p>
    <w:p>
      <w:r>
        <w:rPr>
          <w:b/>
          <w:color w:val="1B3A5C"/>
        </w:rPr>
        <w:t xml:space="preserve">Situation: </w:t>
      </w:r>
      <w:r>
        <w:t>Ransomware targets core HR systems.</w:t>
      </w:r>
    </w:p>
    <w:p>
      <w:r>
        <w:rPr>
          <w:b/>
          <w:color w:val="1B3A5C"/>
        </w:rPr>
        <w:t xml:space="preserve">Relevant Requirements: </w:t>
      </w:r>
      <w:r>
        <w:t>SEC-011 Cyber Response</w:t>
      </w:r>
    </w:p>
    <w:p>
      <w:r>
        <w:rPr>
          <w:b/>
          <w:color w:val="1B3A5C"/>
        </w:rPr>
        <w:t xml:space="preserve">Expected Process: </w:t>
      </w:r>
      <w:r>
        <w:t>Follow prescribed emergency playbook.</w:t>
      </w:r>
    </w:p>
    <w:p>
      <w:r>
        <w:rPr>
          <w:b/>
          <w:color w:val="1B3A5C"/>
        </w:rPr>
        <w:t xml:space="preserve">Outcome: </w:t>
      </w:r>
      <w:r>
        <w:t>Isolate HR subnets, invoke offline backups, notify CISO.</w:t>
      </w:r>
    </w:p>
    <w:p/>
    <w:p>
      <w:pPr>
        <w:pStyle w:val="Heading3"/>
      </w:pPr>
      <w:r>
        <w:t>Scenario 4: Power Failure</w:t>
      </w:r>
    </w:p>
    <w:p>
      <w:r>
        <w:rPr>
          <w:b/>
          <w:color w:val="1B3A5C"/>
        </w:rPr>
        <w:t xml:space="preserve">Situation: </w:t>
      </w:r>
      <w:r>
        <w:t>Grid collapse in Bengaluru.</w:t>
      </w:r>
    </w:p>
    <w:p>
      <w:r>
        <w:rPr>
          <w:b/>
          <w:color w:val="1B3A5C"/>
        </w:rPr>
        <w:t xml:space="preserve">Relevant Requirements: </w:t>
      </w:r>
      <w:r>
        <w:t>Generator failover</w:t>
      </w:r>
    </w:p>
    <w:p>
      <w:r>
        <w:rPr>
          <w:b/>
          <w:color w:val="1B3A5C"/>
        </w:rPr>
        <w:t xml:space="preserve">Expected Process: </w:t>
      </w:r>
      <w:r>
        <w:t>Follow prescribed emergency playbook.</w:t>
      </w:r>
    </w:p>
    <w:p>
      <w:r>
        <w:rPr>
          <w:b/>
          <w:color w:val="1B3A5C"/>
        </w:rPr>
        <w:t xml:space="preserve">Outcome: </w:t>
      </w:r>
      <w:r>
        <w:t>Auto-failover to UPS, then dual diesel generators. Fuel contracts guarantee 72h runtime.</w:t>
      </w:r>
    </w:p>
    <w:p/>
    <w:p>
      <w:pPr>
        <w:pStyle w:val="Heading3"/>
      </w:pPr>
      <w:r>
        <w:t>Scenario 5: Civil Unrest</w:t>
      </w:r>
    </w:p>
    <w:p>
      <w:r>
        <w:rPr>
          <w:b/>
          <w:color w:val="1B3A5C"/>
        </w:rPr>
        <w:t xml:space="preserve">Situation: </w:t>
      </w:r>
      <w:r>
        <w:t>Protests block access to Gurugram office.</w:t>
      </w:r>
    </w:p>
    <w:p>
      <w:r>
        <w:rPr>
          <w:b/>
          <w:color w:val="1B3A5C"/>
        </w:rPr>
        <w:t xml:space="preserve">Relevant Requirements: </w:t>
      </w:r>
      <w:r>
        <w:t>Workplace safety lockdown</w:t>
      </w:r>
    </w:p>
    <w:p>
      <w:r>
        <w:rPr>
          <w:b/>
          <w:color w:val="1B3A5C"/>
        </w:rPr>
        <w:t xml:space="preserve">Expected Process: </w:t>
      </w:r>
      <w:r>
        <w:t>Follow prescribed emergency playbook.</w:t>
      </w:r>
    </w:p>
    <w:p>
      <w:r>
        <w:rPr>
          <w:b/>
          <w:color w:val="1B3A5C"/>
        </w:rPr>
        <w:t xml:space="preserve">Outcome: </w:t>
      </w:r>
      <w:r>
        <w:t>Secure perimeter, advise staff to WFH. Coordinate with local authorities.</w:t>
      </w:r>
    </w:p>
    <w:p/>
    <w:p>
      <w:pPr>
        <w:pStyle w:val="Heading3"/>
      </w:pPr>
      <w:r>
        <w:t>Scenario 6: Key Personnel Loss</w:t>
      </w:r>
    </w:p>
    <w:p>
      <w:r>
        <w:rPr>
          <w:b/>
          <w:color w:val="1B3A5C"/>
        </w:rPr>
        <w:t xml:space="preserve">Situation: </w:t>
      </w:r>
      <w:r>
        <w:t>Sudden incapacitation of CTO.</w:t>
      </w:r>
    </w:p>
    <w:p>
      <w:r>
        <w:rPr>
          <w:b/>
          <w:color w:val="1B3A5C"/>
        </w:rPr>
        <w:t xml:space="preserve">Relevant Requirements: </w:t>
      </w:r>
      <w:r>
        <w:t>Succession Matrix</w:t>
      </w:r>
    </w:p>
    <w:p>
      <w:r>
        <w:rPr>
          <w:b/>
          <w:color w:val="1B3A5C"/>
        </w:rPr>
        <w:t xml:space="preserve">Expected Process: </w:t>
      </w:r>
      <w:r>
        <w:t>Follow prescribed emergency playbook.</w:t>
      </w:r>
    </w:p>
    <w:p>
      <w:r>
        <w:rPr>
          <w:b/>
          <w:color w:val="1B3A5C"/>
        </w:rPr>
        <w:t xml:space="preserve">Outcome: </w:t>
      </w:r>
      <w:r>
        <w:t>VP of Engineering assumes interim CTO duties.</w:t>
      </w:r>
    </w:p>
    <w:p/>
    <w:p>
      <w:pPr>
        <w:pStyle w:val="Heading3"/>
      </w:pPr>
      <w:r>
        <w:t>Scenario 7: Vendor Failure</w:t>
      </w:r>
    </w:p>
    <w:p>
      <w:r>
        <w:rPr>
          <w:b/>
          <w:color w:val="1B3A5C"/>
        </w:rPr>
        <w:t xml:space="preserve">Situation: </w:t>
      </w:r>
      <w:r>
        <w:t>Primary cloud provider outage.</w:t>
      </w:r>
    </w:p>
    <w:p>
      <w:r>
        <w:rPr>
          <w:b/>
          <w:color w:val="1B3A5C"/>
        </w:rPr>
        <w:t xml:space="preserve">Relevant Requirements: </w:t>
      </w:r>
      <w:r>
        <w:t>Multi-cloud routing</w:t>
      </w:r>
    </w:p>
    <w:p>
      <w:r>
        <w:rPr>
          <w:b/>
          <w:color w:val="1B3A5C"/>
        </w:rPr>
        <w:t xml:space="preserve">Expected Process: </w:t>
      </w:r>
      <w:r>
        <w:t>Follow prescribed emergency playbook.</w:t>
      </w:r>
    </w:p>
    <w:p>
      <w:r>
        <w:rPr>
          <w:b/>
          <w:color w:val="1B3A5C"/>
        </w:rPr>
        <w:t xml:space="preserve">Outcome: </w:t>
      </w:r>
      <w:r>
        <w:t>Traffic automatically diverted to secondary cloud provider per ENG-008.</w:t>
      </w:r>
    </w:p>
    <w:p/>
    <w:p>
      <w:pPr>
        <w:pStyle w:val="Heading3"/>
      </w:pPr>
      <w:r>
        <w:t>Scenario 8: Transit Strike</w:t>
      </w:r>
    </w:p>
    <w:p>
      <w:r>
        <w:rPr>
          <w:b/>
          <w:color w:val="1B3A5C"/>
        </w:rPr>
        <w:t xml:space="preserve">Situation: </w:t>
      </w:r>
      <w:r>
        <w:t>London tube strike.</w:t>
      </w:r>
    </w:p>
    <w:p>
      <w:r>
        <w:rPr>
          <w:b/>
          <w:color w:val="1B3A5C"/>
        </w:rPr>
        <w:t xml:space="preserve">Relevant Requirements: </w:t>
      </w:r>
      <w:r>
        <w:t>Remote work flexibility</w:t>
      </w:r>
    </w:p>
    <w:p>
      <w:r>
        <w:rPr>
          <w:b/>
          <w:color w:val="1B3A5C"/>
        </w:rPr>
        <w:t xml:space="preserve">Expected Process: </w:t>
      </w:r>
      <w:r>
        <w:t>Follow prescribed emergency playbook.</w:t>
      </w:r>
    </w:p>
    <w:p>
      <w:r>
        <w:rPr>
          <w:b/>
          <w:color w:val="1B3A5C"/>
        </w:rPr>
        <w:t xml:space="preserve">Outcome: </w:t>
      </w:r>
      <w:r>
        <w:t>London office reverts to 100% remote until strike resolves.</w:t>
      </w:r>
    </w:p>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2023-01-01</w:t>
            </w:r>
          </w:p>
        </w:tc>
        <w:tc>
          <w:tcPr>
            <w:tcW w:type="dxa" w:w="2160"/>
          </w:tcPr>
          <w:p>
            <w:r>
              <w:rPr>
                <w:rFonts w:ascii="Calibri" w:hAnsi="Calibri"/>
                <w:color w:val="333333"/>
                <w:sz w:val="18"/>
              </w:rPr>
              <w:t>COO</w:t>
            </w:r>
          </w:p>
        </w:tc>
        <w:tc>
          <w:tcPr>
            <w:tcW w:type="dxa" w:w="4320"/>
          </w:tcPr>
          <w:p>
            <w:r>
              <w:rPr>
                <w:rFonts w:ascii="Calibri" w:hAnsi="Calibri"/>
                <w:color w:val="333333"/>
                <w:sz w:val="18"/>
              </w:rPr>
              <w:t>Initial Release</w:t>
            </w:r>
          </w:p>
        </w:tc>
      </w:tr>
      <w:tr>
        <w:tc>
          <w:tcPr>
            <w:tcW w:type="dxa" w:w="1152"/>
            <w:shd w:fill="F2F6FA" w:val="clear"/>
          </w:tcPr>
          <w:p>
            <w:r>
              <w:rPr>
                <w:rFonts w:ascii="Calibri" w:hAnsi="Calibri"/>
                <w:color w:val="333333"/>
                <w:sz w:val="18"/>
              </w:rPr>
              <w:t>1.3</w:t>
            </w:r>
          </w:p>
        </w:tc>
        <w:tc>
          <w:tcPr>
            <w:tcW w:type="dxa" w:w="1872"/>
            <w:shd w:fill="F2F6FA" w:val="clear"/>
          </w:tcPr>
          <w:p>
            <w:r>
              <w:rPr>
                <w:rFonts w:ascii="Calibri" w:hAnsi="Calibri"/>
                <w:color w:val="333333"/>
                <w:sz w:val="18"/>
              </w:rPr>
              <w:t>2025-07-01</w:t>
            </w:r>
          </w:p>
        </w:tc>
        <w:tc>
          <w:tcPr>
            <w:tcW w:type="dxa" w:w="2160"/>
            <w:shd w:fill="F2F6FA" w:val="clear"/>
          </w:tcPr>
          <w:p>
            <w:r>
              <w:rPr>
                <w:rFonts w:ascii="Calibri" w:hAnsi="Calibri"/>
                <w:color w:val="333333"/>
                <w:sz w:val="18"/>
              </w:rPr>
              <w:t>COO</w:t>
            </w:r>
          </w:p>
        </w:tc>
        <w:tc>
          <w:tcPr>
            <w:tcW w:type="dxa" w:w="4320"/>
            <w:shd w:fill="F2F6FA" w:val="clear"/>
          </w:tcPr>
          <w:p>
            <w:r>
              <w:rPr>
                <w:rFonts w:ascii="Calibri" w:hAnsi="Calibri"/>
                <w:color w:val="333333"/>
                <w:sz w:val="18"/>
              </w:rPr>
              <w:t>Updated for Austin expansion</w:t>
            </w:r>
          </w:p>
        </w:tc>
      </w:tr>
      <w:tr>
        <w:tc>
          <w:tcPr>
            <w:tcW w:type="dxa" w:w="1152"/>
          </w:tcPr>
          <w:p>
            <w:r>
              <w:rPr>
                <w:rFonts w:ascii="Calibri" w:hAnsi="Calibri"/>
                <w:color w:val="333333"/>
                <w:sz w:val="18"/>
              </w:rPr>
              <w:t>2.0</w:t>
            </w:r>
          </w:p>
        </w:tc>
        <w:tc>
          <w:tcPr>
            <w:tcW w:type="dxa" w:w="1872"/>
          </w:tcPr>
          <w:p>
            <w:r>
              <w:rPr>
                <w:rFonts w:ascii="Calibri" w:hAnsi="Calibri"/>
                <w:color w:val="333333"/>
                <w:sz w:val="18"/>
              </w:rPr>
              <w:t>2026-01-01</w:t>
            </w:r>
          </w:p>
        </w:tc>
        <w:tc>
          <w:tcPr>
            <w:tcW w:type="dxa" w:w="2160"/>
          </w:tcPr>
          <w:p>
            <w:r>
              <w:rPr>
                <w:rFonts w:ascii="Calibri" w:hAnsi="Calibri"/>
                <w:color w:val="333333"/>
                <w:sz w:val="18"/>
              </w:rPr>
              <w:t>COO</w:t>
            </w:r>
          </w:p>
        </w:tc>
        <w:tc>
          <w:tcPr>
            <w:tcW w:type="dxa" w:w="4320"/>
          </w:tcPr>
          <w:p>
            <w:r>
              <w:rPr>
                <w:rFonts w:ascii="Calibri" w:hAnsi="Calibri"/>
                <w:color w:val="333333"/>
                <w:sz w:val="18"/>
              </w:rPr>
              <w:t>Comprehensive overhaul aligned with ENG-008</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Confidential — CORP-001</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