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Workplace Health and Safety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CORP-002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Operating Officer (COO)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Executive Officer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01 March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CORP-002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Workplace Health and Safety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Operating Officer (COO)</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Chief Executive Officer (CEO)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01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01 March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&amp; On-site Contractors</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CORP-001, CORP-003, CORP-005, HR-001, LEGAL-007</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Health and Safety Commitment</w:t>
      </w:r>
    </w:p>
    <w:p>
      <w:pPr/>
      <w:r>
        <w:t>Vistara Global Systems is committed to providing a safe, healthy, and secure working environment for all 1,087 employees across our 12 locations.</w:t>
      </w:r>
    </w:p>
    <w:p>
      <w:pPr>
        <w:pStyle w:val="Heading1"/>
      </w:pPr>
      <w:r>
        <w:t>2. Safety Committee</w:t>
      </w:r>
    </w:p>
    <w:p>
      <w:pPr/>
      <w:r>
        <w:t>Each location must maintain a Safety Committee meeting quarterly with elected employee representatives.</w:t>
      </w:r>
    </w:p>
    <w:p>
      <w:pPr>
        <w:pStyle w:val="Heading1"/>
      </w:pPr>
      <w:r>
        <w:t>3. Workplace Safety Standards</w:t>
      </w:r>
    </w:p>
    <w:p>
      <w:pPr>
        <w:pStyle w:val="ListBullet"/>
      </w:pPr>
      <w:r>
        <w:t>Fire safety: Quarterly drills mandated.</w:t>
      </w:r>
    </w:p>
    <w:p>
      <w:pPr>
        <w:pStyle w:val="ListBullet"/>
      </w:pPr>
      <w:r>
        <w:t>Electrical safety: Annual audits.</w:t>
      </w:r>
    </w:p>
    <w:p>
      <w:pPr>
        <w:pStyle w:val="ListBullet"/>
      </w:pPr>
      <w:r>
        <w:t>Ergonomics: Mandatory assessment within 30 days of joining. Adjustable desks available on request.</w:t>
      </w:r>
    </w:p>
    <w:p>
      <w:pPr>
        <w:pStyle w:val="ListBullet"/>
      </w:pPr>
      <w:r>
        <w:t>First aid kits at all locations with AED devices.</w:t>
      </w:r>
    </w:p>
    <w:p>
      <w:pPr>
        <w:pStyle w:val="ListBullet"/>
      </w:pPr>
      <w:r>
        <w:t>Trained first aiders: Minimum 2 per floor.</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r>
        <w: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document.Visitor safety, remote worker health and safety, and travel health will be rigorously enforced per the standards of this document.</w:t>
      </w:r>
    </w:p>
    <w:p>
      <w:pPr>
        <w:pStyle w:val="Heading1"/>
      </w:pPr>
      <w:r>
        <w:t>4. Mental Health Support</w:t>
      </w:r>
    </w:p>
    <w:p>
      <w:pPr/>
      <w:r>
        <w:t>Employee Assistance Program (EAP) provides confidential counseling, 6 free sessions/year, and quarterly stress management workshops.</w:t>
      </w:r>
    </w:p>
    <w:p>
      <w:pPr>
        <w:pStyle w:val="Heading1"/>
      </w:pPr>
      <w:r>
        <w:t>5. Workplace Environment Metrics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fill="1B3A5C" w:val="clear"/>
          </w:tcPr>
          <w:p>
            <w:pPr>
              <w:jc w:val="center"/>
            </w:pPr>
            <w:r>
              <w:rPr>
                <w:rFonts w:ascii="Calibri" w:hAnsi="Calibri"/>
                <w:b/>
                <w:color w:val="FFFFFF"/>
                <w:sz w:val="20"/>
              </w:rPr>
              <w:t>Parameter</w:t>
            </w:r>
          </w:p>
        </w:tc>
        <w:tc>
          <w:tcPr>
            <w:tcW w:type="dxa" w:w="2340"/>
            <w:shd w:fill="1B3A5C" w:val="clear"/>
          </w:tcPr>
          <w:p>
            <w:pPr>
              <w:jc w:val="center"/>
            </w:pPr>
            <w:r>
              <w:rPr>
                <w:rFonts w:ascii="Calibri" w:hAnsi="Calibri"/>
                <w:b/>
                <w:color w:val="FFFFFF"/>
                <w:sz w:val="20"/>
              </w:rPr>
              <w:t>Target</w:t>
            </w:r>
          </w:p>
        </w:tc>
        <w:tc>
          <w:tcPr>
            <w:tcW w:type="dxa" w:w="2340"/>
            <w:shd w:fill="1B3A5C" w:val="clear"/>
          </w:tcPr>
          <w:p>
            <w:pPr>
              <w:jc w:val="center"/>
            </w:pPr>
            <w:r>
              <w:rPr>
                <w:rFonts w:ascii="Calibri" w:hAnsi="Calibri"/>
                <w:b/>
                <w:color w:val="FFFFFF"/>
                <w:sz w:val="20"/>
              </w:rPr>
              <w:t>Tolerance</w:t>
            </w:r>
          </w:p>
        </w:tc>
        <w:tc>
          <w:tcPr>
            <w:tcW w:type="dxa" w:w="2340"/>
            <w:shd w:fill="1B3A5C" w:val="clear"/>
          </w:tcPr>
          <w:p>
            <w:pPr>
              <w:jc w:val="center"/>
            </w:pPr>
            <w:r>
              <w:rPr>
                <w:rFonts w:ascii="Calibri" w:hAnsi="Calibri"/>
                <w:b/>
                <w:color w:val="FFFFFF"/>
                <w:sz w:val="20"/>
              </w:rPr>
              <w:t>Monitoring Frequency</w:t>
            </w:r>
          </w:p>
        </w:tc>
      </w:tr>
      <w:tr>
        <w:tc>
          <w:tcPr>
            <w:tcW w:type="dxa" w:w="2340"/>
          </w:tcPr>
          <w:p>
            <w:r>
              <w:rPr>
                <w:rFonts w:ascii="Calibri" w:hAnsi="Calibri"/>
                <w:color w:val="333333"/>
                <w:sz w:val="18"/>
              </w:rPr>
              <w:t>Temperature</w:t>
            </w:r>
          </w:p>
        </w:tc>
        <w:tc>
          <w:tcPr>
            <w:tcW w:type="dxa" w:w="2340"/>
          </w:tcPr>
          <w:p>
            <w:r>
              <w:rPr>
                <w:rFonts w:ascii="Calibri" w:hAnsi="Calibri"/>
                <w:color w:val="333333"/>
                <w:sz w:val="18"/>
              </w:rPr>
              <w:t>24°C</w:t>
            </w:r>
          </w:p>
        </w:tc>
        <w:tc>
          <w:tcPr>
            <w:tcW w:type="dxa" w:w="2340"/>
          </w:tcPr>
          <w:p>
            <w:r>
              <w:rPr>
                <w:rFonts w:ascii="Calibri" w:hAnsi="Calibri"/>
                <w:color w:val="333333"/>
                <w:sz w:val="18"/>
              </w:rPr>
              <w:t>22-26°C</w:t>
            </w:r>
          </w:p>
        </w:tc>
        <w:tc>
          <w:tcPr>
            <w:tcW w:type="dxa" w:w="2340"/>
          </w:tcPr>
          <w:p>
            <w:r>
              <w:rPr>
                <w:rFonts w:ascii="Calibri" w:hAnsi="Calibri"/>
                <w:color w:val="333333"/>
                <w:sz w:val="18"/>
              </w:rPr>
              <w:t>Continuous</w:t>
            </w:r>
          </w:p>
        </w:tc>
      </w:tr>
      <w:tr>
        <w:tc>
          <w:tcPr>
            <w:tcW w:type="dxa" w:w="2340"/>
            <w:shd w:fill="F2F6FA" w:val="clear"/>
          </w:tcPr>
          <w:p>
            <w:r>
              <w:rPr>
                <w:rFonts w:ascii="Calibri" w:hAnsi="Calibri"/>
                <w:color w:val="333333"/>
                <w:sz w:val="18"/>
              </w:rPr>
              <w:t>Lighting</w:t>
            </w:r>
          </w:p>
        </w:tc>
        <w:tc>
          <w:tcPr>
            <w:tcW w:type="dxa" w:w="2340"/>
            <w:shd w:fill="F2F6FA" w:val="clear"/>
          </w:tcPr>
          <w:p>
            <w:r>
              <w:rPr>
                <w:rFonts w:ascii="Calibri" w:hAnsi="Calibri"/>
                <w:color w:val="333333"/>
                <w:sz w:val="18"/>
              </w:rPr>
              <w:t>500 lux</w:t>
            </w:r>
          </w:p>
        </w:tc>
        <w:tc>
          <w:tcPr>
            <w:tcW w:type="dxa" w:w="2340"/>
            <w:shd w:fill="F2F6FA" w:val="clear"/>
          </w:tcPr>
          <w:p>
            <w:r>
              <w:rPr>
                <w:rFonts w:ascii="Calibri" w:hAnsi="Calibri"/>
                <w:color w:val="333333"/>
                <w:sz w:val="18"/>
              </w:rPr>
              <w:t>450-550 lux</w:t>
            </w:r>
          </w:p>
        </w:tc>
        <w:tc>
          <w:tcPr>
            <w:tcW w:type="dxa" w:w="2340"/>
            <w:shd w:fill="F2F6FA" w:val="clear"/>
          </w:tcPr>
          <w:p>
            <w:r>
              <w:rPr>
                <w:rFonts w:ascii="Calibri" w:hAnsi="Calibri"/>
                <w:color w:val="333333"/>
                <w:sz w:val="18"/>
              </w:rPr>
              <w:t>Monthly Check</w:t>
            </w:r>
          </w:p>
        </w:tc>
      </w:tr>
      <w:tr>
        <w:tc>
          <w:tcPr>
            <w:tcW w:type="dxa" w:w="2340"/>
          </w:tcPr>
          <w:p>
            <w:r>
              <w:rPr>
                <w:rFonts w:ascii="Calibri" w:hAnsi="Calibri"/>
                <w:color w:val="333333"/>
                <w:sz w:val="18"/>
              </w:rPr>
              <w:t>Noise Level</w:t>
            </w:r>
          </w:p>
        </w:tc>
        <w:tc>
          <w:tcPr>
            <w:tcW w:type="dxa" w:w="2340"/>
          </w:tcPr>
          <w:p>
            <w:r>
              <w:rPr>
                <w:rFonts w:ascii="Calibri" w:hAnsi="Calibri"/>
                <w:color w:val="333333"/>
                <w:sz w:val="18"/>
              </w:rPr>
              <w:t>&lt;50 dB</w:t>
            </w:r>
          </w:p>
        </w:tc>
        <w:tc>
          <w:tcPr>
            <w:tcW w:type="dxa" w:w="2340"/>
          </w:tcPr>
          <w:p>
            <w:r>
              <w:rPr>
                <w:rFonts w:ascii="Calibri" w:hAnsi="Calibri"/>
                <w:color w:val="333333"/>
                <w:sz w:val="18"/>
              </w:rPr>
              <w:t>Max 55 dB</w:t>
            </w:r>
          </w:p>
        </w:tc>
        <w:tc>
          <w:tcPr>
            <w:tcW w:type="dxa" w:w="2340"/>
          </w:tcPr>
          <w:p>
            <w:r>
              <w:rPr>
                <w:rFonts w:ascii="Calibri" w:hAnsi="Calibri"/>
                <w:color w:val="333333"/>
                <w:sz w:val="18"/>
              </w:rPr>
              <w:t>Quarterly Audit</w:t>
            </w:r>
          </w:p>
        </w:tc>
      </w:tr>
      <w:tr>
        <w:tc>
          <w:tcPr>
            <w:tcW w:type="dxa" w:w="2340"/>
            <w:shd w:fill="F2F6FA" w:val="clear"/>
          </w:tcPr>
          <w:p>
            <w:r>
              <w:rPr>
                <w:rFonts w:ascii="Calibri" w:hAnsi="Calibri"/>
                <w:color w:val="333333"/>
                <w:sz w:val="18"/>
              </w:rPr>
              <w:t>Air Quality (PM2.5)</w:t>
            </w:r>
          </w:p>
        </w:tc>
        <w:tc>
          <w:tcPr>
            <w:tcW w:type="dxa" w:w="2340"/>
            <w:shd w:fill="F2F6FA" w:val="clear"/>
          </w:tcPr>
          <w:p>
            <w:r>
              <w:rPr>
                <w:rFonts w:ascii="Calibri" w:hAnsi="Calibri"/>
                <w:color w:val="333333"/>
                <w:sz w:val="18"/>
              </w:rPr>
              <w:t>&lt;12 µg/m³</w:t>
            </w:r>
          </w:p>
        </w:tc>
        <w:tc>
          <w:tcPr>
            <w:tcW w:type="dxa" w:w="2340"/>
            <w:shd w:fill="F2F6FA" w:val="clear"/>
          </w:tcPr>
          <w:p>
            <w:r>
              <w:rPr>
                <w:rFonts w:ascii="Calibri" w:hAnsi="Calibri"/>
                <w:color w:val="333333"/>
                <w:sz w:val="18"/>
              </w:rPr>
              <w:t>Max 35 µg/m³</w:t>
            </w:r>
          </w:p>
        </w:tc>
        <w:tc>
          <w:tcPr>
            <w:tcW w:type="dxa" w:w="2340"/>
            <w:shd w:fill="F2F6FA" w:val="clear"/>
          </w:tcPr>
          <w:p>
            <w:r>
              <w:rPr>
                <w:rFonts w:ascii="Calibri" w:hAnsi="Calibri"/>
                <w:color w:val="333333"/>
                <w:sz w:val="18"/>
              </w:rPr>
              <w:t>Continuous</w:t>
            </w:r>
          </w:p>
        </w:tc>
      </w:tr>
    </w:tbl>
    <w:p/>
    <w:p>
      <w:r>
        <w:rPr>
          <w:rFonts w:ascii="Calibri" w:hAnsi="Calibri"/>
          <w:b/>
          <w:color w:val="1B3A5C"/>
          <w:sz w:val="22"/>
        </w:rPr>
        <w:t>Q: FAQ Question #1 on Safety</w:t>
      </w:r>
    </w:p>
    <w:p>
      <w:pPr>
        <w:spacing w:after="240"/>
      </w:pPr>
      <w:r>
        <w:rPr>
          <w:rFonts w:ascii="Calibri" w:hAnsi="Calibri"/>
          <w:color w:val="333333"/>
          <w:sz w:val="22"/>
        </w:rPr>
        <w:t>A: Safety protocol response #1 detailing procedures and HR-001 alignment.</w:t>
      </w:r>
    </w:p>
    <w:p>
      <w:r>
        <w:rPr>
          <w:rFonts w:ascii="Calibri" w:hAnsi="Calibri"/>
          <w:b/>
          <w:color w:val="1B3A5C"/>
          <w:sz w:val="22"/>
        </w:rPr>
        <w:t>Q: FAQ Question #2 on Safety</w:t>
      </w:r>
    </w:p>
    <w:p>
      <w:pPr>
        <w:spacing w:after="240"/>
      </w:pPr>
      <w:r>
        <w:rPr>
          <w:rFonts w:ascii="Calibri" w:hAnsi="Calibri"/>
          <w:color w:val="333333"/>
          <w:sz w:val="22"/>
        </w:rPr>
        <w:t>A: Safety protocol response #2 detailing procedures and HR-001 alignment.</w:t>
      </w:r>
    </w:p>
    <w:p>
      <w:r>
        <w:rPr>
          <w:rFonts w:ascii="Calibri" w:hAnsi="Calibri"/>
          <w:b/>
          <w:color w:val="1B3A5C"/>
          <w:sz w:val="22"/>
        </w:rPr>
        <w:t>Q: FAQ Question #3 on Safety</w:t>
      </w:r>
    </w:p>
    <w:p>
      <w:pPr>
        <w:spacing w:after="240"/>
      </w:pPr>
      <w:r>
        <w:rPr>
          <w:rFonts w:ascii="Calibri" w:hAnsi="Calibri"/>
          <w:color w:val="333333"/>
          <w:sz w:val="22"/>
        </w:rPr>
        <w:t>A: Safety protocol response #3 detailing procedures and HR-001 alignment.</w:t>
      </w:r>
    </w:p>
    <w:p>
      <w:r>
        <w:rPr>
          <w:rFonts w:ascii="Calibri" w:hAnsi="Calibri"/>
          <w:b/>
          <w:color w:val="1B3A5C"/>
          <w:sz w:val="22"/>
        </w:rPr>
        <w:t>Q: FAQ Question #4 on Safety</w:t>
      </w:r>
    </w:p>
    <w:p>
      <w:pPr>
        <w:spacing w:after="240"/>
      </w:pPr>
      <w:r>
        <w:rPr>
          <w:rFonts w:ascii="Calibri" w:hAnsi="Calibri"/>
          <w:color w:val="333333"/>
          <w:sz w:val="22"/>
        </w:rPr>
        <w:t>A: Safety protocol response #4 detailing procedures and HR-001 alignment.</w:t>
      </w:r>
    </w:p>
    <w:p>
      <w:r>
        <w:rPr>
          <w:rFonts w:ascii="Calibri" w:hAnsi="Calibri"/>
          <w:b/>
          <w:color w:val="1B3A5C"/>
          <w:sz w:val="22"/>
        </w:rPr>
        <w:t>Q: FAQ Question #5 on Safety</w:t>
      </w:r>
    </w:p>
    <w:p>
      <w:pPr>
        <w:spacing w:after="240"/>
      </w:pPr>
      <w:r>
        <w:rPr>
          <w:rFonts w:ascii="Calibri" w:hAnsi="Calibri"/>
          <w:color w:val="333333"/>
          <w:sz w:val="22"/>
        </w:rPr>
        <w:t>A: Safety protocol response #5 detailing procedures and HR-001 alignment.</w:t>
      </w:r>
    </w:p>
    <w:p>
      <w:r>
        <w:rPr>
          <w:rFonts w:ascii="Calibri" w:hAnsi="Calibri"/>
          <w:b/>
          <w:color w:val="1B3A5C"/>
          <w:sz w:val="22"/>
        </w:rPr>
        <w:t>Q: FAQ Question #6 on Safety</w:t>
      </w:r>
    </w:p>
    <w:p>
      <w:pPr>
        <w:spacing w:after="240"/>
      </w:pPr>
      <w:r>
        <w:rPr>
          <w:rFonts w:ascii="Calibri" w:hAnsi="Calibri"/>
          <w:color w:val="333333"/>
          <w:sz w:val="22"/>
        </w:rPr>
        <w:t>A: Safety protocol response #6 detailing procedures and HR-001 alignment.</w:t>
      </w:r>
    </w:p>
    <w:p>
      <w:r>
        <w:rPr>
          <w:rFonts w:ascii="Calibri" w:hAnsi="Calibri"/>
          <w:b/>
          <w:color w:val="1B3A5C"/>
          <w:sz w:val="22"/>
        </w:rPr>
        <w:t>Q: FAQ Question #7 on Safety</w:t>
      </w:r>
    </w:p>
    <w:p>
      <w:pPr>
        <w:spacing w:after="240"/>
      </w:pPr>
      <w:r>
        <w:rPr>
          <w:rFonts w:ascii="Calibri" w:hAnsi="Calibri"/>
          <w:color w:val="333333"/>
          <w:sz w:val="22"/>
        </w:rPr>
        <w:t>A: Safety protocol response #7 detailing procedures and HR-001 alignment.</w:t>
      </w:r>
    </w:p>
    <w:p>
      <w:r>
        <w:rPr>
          <w:rFonts w:ascii="Calibri" w:hAnsi="Calibri"/>
          <w:b/>
          <w:color w:val="1B3A5C"/>
          <w:sz w:val="22"/>
        </w:rPr>
        <w:t>Q: FAQ Question #8 on Safety</w:t>
      </w:r>
    </w:p>
    <w:p>
      <w:pPr>
        <w:spacing w:after="240"/>
      </w:pPr>
      <w:r>
        <w:rPr>
          <w:rFonts w:ascii="Calibri" w:hAnsi="Calibri"/>
          <w:color w:val="333333"/>
          <w:sz w:val="22"/>
        </w:rPr>
        <w:t>A: Safety protocol response #8 detailing procedures and HR-001 alignment.</w:t>
      </w:r>
    </w:p>
    <w:p>
      <w:r>
        <w:rPr>
          <w:rFonts w:ascii="Calibri" w:hAnsi="Calibri"/>
          <w:b/>
          <w:color w:val="1B3A5C"/>
          <w:sz w:val="22"/>
        </w:rPr>
        <w:t>Q: FAQ Question #9 on Safety</w:t>
      </w:r>
    </w:p>
    <w:p>
      <w:pPr>
        <w:spacing w:after="240"/>
      </w:pPr>
      <w:r>
        <w:rPr>
          <w:rFonts w:ascii="Calibri" w:hAnsi="Calibri"/>
          <w:color w:val="333333"/>
          <w:sz w:val="22"/>
        </w:rPr>
        <w:t>A: Safety protocol response #9 detailing procedures and HR-001 alignment.</w:t>
      </w:r>
    </w:p>
    <w:p>
      <w:r>
        <w:rPr>
          <w:rFonts w:ascii="Calibri" w:hAnsi="Calibri"/>
          <w:b/>
          <w:color w:val="1B3A5C"/>
          <w:sz w:val="22"/>
        </w:rPr>
        <w:t>Q: FAQ Question #10 on Safety</w:t>
      </w:r>
    </w:p>
    <w:p>
      <w:pPr>
        <w:spacing w:after="240"/>
      </w:pPr>
      <w:r>
        <w:rPr>
          <w:rFonts w:ascii="Calibri" w:hAnsi="Calibri"/>
          <w:color w:val="333333"/>
          <w:sz w:val="22"/>
        </w:rPr>
        <w:t>A: Safety protocol response #10 detailing procedures and HR-001 alignment.</w:t>
      </w:r>
    </w:p>
    <w:p>
      <w:r>
        <w:rPr>
          <w:rFonts w:ascii="Calibri" w:hAnsi="Calibri"/>
          <w:b/>
          <w:color w:val="1B3A5C"/>
          <w:sz w:val="22"/>
        </w:rPr>
        <w:t>Q: FAQ Question #11 on Safety</w:t>
      </w:r>
    </w:p>
    <w:p>
      <w:pPr>
        <w:spacing w:after="240"/>
      </w:pPr>
      <w:r>
        <w:rPr>
          <w:rFonts w:ascii="Calibri" w:hAnsi="Calibri"/>
          <w:color w:val="333333"/>
          <w:sz w:val="22"/>
        </w:rPr>
        <w:t>A: Safety protocol response #11 detailing procedures and HR-001 alignment.</w:t>
      </w:r>
    </w:p>
    <w:p>
      <w:r>
        <w:rPr>
          <w:rFonts w:ascii="Calibri" w:hAnsi="Calibri"/>
          <w:b/>
          <w:color w:val="1B3A5C"/>
          <w:sz w:val="22"/>
        </w:rPr>
        <w:t>Q: FAQ Question #12 on Safety</w:t>
      </w:r>
    </w:p>
    <w:p>
      <w:pPr>
        <w:spacing w:after="240"/>
      </w:pPr>
      <w:r>
        <w:rPr>
          <w:rFonts w:ascii="Calibri" w:hAnsi="Calibri"/>
          <w:color w:val="333333"/>
          <w:sz w:val="22"/>
        </w:rPr>
        <w:t>A: Safety protocol response #12 detailing procedures and HR-001 alignment.</w:t>
      </w:r>
    </w:p>
    <w:p>
      <w:r>
        <w:rPr>
          <w:rFonts w:ascii="Calibri" w:hAnsi="Calibri"/>
          <w:b/>
          <w:color w:val="1B3A5C"/>
          <w:sz w:val="22"/>
        </w:rPr>
        <w:t>Q: FAQ Question #13 on Safety</w:t>
      </w:r>
    </w:p>
    <w:p>
      <w:pPr>
        <w:spacing w:after="240"/>
      </w:pPr>
      <w:r>
        <w:rPr>
          <w:rFonts w:ascii="Calibri" w:hAnsi="Calibri"/>
          <w:color w:val="333333"/>
          <w:sz w:val="22"/>
        </w:rPr>
        <w:t>A: Safety protocol response #13 detailing procedures and HR-001 alignment.</w:t>
      </w:r>
    </w:p>
    <w:p>
      <w:r>
        <w:rPr>
          <w:rFonts w:ascii="Calibri" w:hAnsi="Calibri"/>
          <w:b/>
          <w:color w:val="1B3A5C"/>
          <w:sz w:val="22"/>
        </w:rPr>
        <w:t>Q: FAQ Question #14 on Safety</w:t>
      </w:r>
    </w:p>
    <w:p>
      <w:pPr>
        <w:spacing w:after="240"/>
      </w:pPr>
      <w:r>
        <w:rPr>
          <w:rFonts w:ascii="Calibri" w:hAnsi="Calibri"/>
          <w:color w:val="333333"/>
          <w:sz w:val="22"/>
        </w:rPr>
        <w:t>A: Safety protocol response #14 detailing procedures and HR-001 alignment.</w:t>
      </w:r>
    </w:p>
    <w:p>
      <w:r>
        <w:rPr>
          <w:rFonts w:ascii="Calibri" w:hAnsi="Calibri"/>
          <w:b/>
          <w:color w:val="1B3A5C"/>
          <w:sz w:val="22"/>
        </w:rPr>
        <w:t>Q: FAQ Question #15 on Safety</w:t>
      </w:r>
    </w:p>
    <w:p>
      <w:pPr>
        <w:spacing w:after="240"/>
      </w:pPr>
      <w:r>
        <w:rPr>
          <w:rFonts w:ascii="Calibri" w:hAnsi="Calibri"/>
          <w:color w:val="333333"/>
          <w:sz w:val="22"/>
        </w:rPr>
        <w:t>A: Safety protocol response #15 detailing procedures and HR-001 alignment.</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2026-03-01</w:t>
            </w:r>
          </w:p>
        </w:tc>
        <w:tc>
          <w:tcPr>
            <w:tcW w:type="dxa" w:w="2160"/>
          </w:tcPr>
          <w:p>
            <w:r>
              <w:rPr>
                <w:rFonts w:ascii="Calibri" w:hAnsi="Calibri"/>
                <w:color w:val="333333"/>
                <w:sz w:val="18"/>
              </w:rPr>
              <w:t>COO</w:t>
            </w:r>
          </w:p>
        </w:tc>
        <w:tc>
          <w:tcPr>
            <w:tcW w:type="dxa" w:w="4320"/>
          </w:tcPr>
          <w:p>
            <w:r>
              <w:rPr>
                <w:rFonts w:ascii="Calibri" w:hAnsi="Calibri"/>
                <w:color w:val="333333"/>
                <w:sz w:val="18"/>
              </w:rPr>
              <w:t>Annual update.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CORP-002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