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Physical Security and Office Access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CORP-003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Operating Officer (COO)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Information Security Officer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April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CORP-003</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Physical Security and Office Access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Operating Officer (COO)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Information Security Officer (CISO)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April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Staff</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1.1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CORP-001, CORP-002, SEC-001, HR-012, ENG-009</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Office Access Zones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Zone Type</w:t>
            </w:r>
          </w:p>
        </w:tc>
        <w:tc>
          <w:tcPr>
            <w:tcW w:type="dxa" w:w="2340"/>
            <w:shd w:fill="1B3A5C" w:val="clear"/>
          </w:tcPr>
          <w:p>
            <w:pPr>
              <w:jc w:val="center"/>
            </w:pPr>
            <w:r>
              <w:rPr>
                <w:rFonts w:ascii="Calibri" w:hAnsi="Calibri"/>
                <w:b/>
                <w:color w:val="FFFFFF"/>
                <w:sz w:val="20"/>
              </w:rPr>
              <w:t>Areas Included</w:t>
            </w:r>
          </w:p>
        </w:tc>
        <w:tc>
          <w:tcPr>
            <w:tcW w:type="dxa" w:w="2340"/>
            <w:shd w:fill="1B3A5C" w:val="clear"/>
          </w:tcPr>
          <w:p>
            <w:pPr>
              <w:jc w:val="center"/>
            </w:pPr>
            <w:r>
              <w:rPr>
                <w:rFonts w:ascii="Calibri" w:hAnsi="Calibri"/>
                <w:b/>
                <w:color w:val="FFFFFF"/>
                <w:sz w:val="20"/>
              </w:rPr>
              <w:t>Access Requirement</w:t>
            </w:r>
          </w:p>
        </w:tc>
        <w:tc>
          <w:tcPr>
            <w:tcW w:type="dxa" w:w="2340"/>
            <w:shd w:fill="1B3A5C" w:val="clear"/>
          </w:tcPr>
          <w:p>
            <w:pPr>
              <w:jc w:val="center"/>
            </w:pPr>
            <w:r>
              <w:rPr>
                <w:rFonts w:ascii="Calibri" w:hAnsi="Calibri"/>
                <w:b/>
                <w:color w:val="FFFFFF"/>
                <w:sz w:val="20"/>
              </w:rPr>
              <w:t>Monitoring</w:t>
            </w:r>
          </w:p>
        </w:tc>
      </w:tr>
      <w:tr>
        <w:tc>
          <w:tcPr>
            <w:tcW w:type="dxa" w:w="2340"/>
          </w:tcPr>
          <w:p>
            <w:r>
              <w:rPr>
                <w:rFonts w:ascii="Calibri" w:hAnsi="Calibri"/>
                <w:color w:val="333333"/>
                <w:sz w:val="18"/>
              </w:rPr>
              <w:t>Public</w:t>
            </w:r>
          </w:p>
        </w:tc>
        <w:tc>
          <w:tcPr>
            <w:tcW w:type="dxa" w:w="2340"/>
          </w:tcPr>
          <w:p>
            <w:r>
              <w:rPr>
                <w:rFonts w:ascii="Calibri" w:hAnsi="Calibri"/>
                <w:color w:val="333333"/>
                <w:sz w:val="18"/>
              </w:rPr>
              <w:t>Reception</w:t>
            </w:r>
          </w:p>
        </w:tc>
        <w:tc>
          <w:tcPr>
            <w:tcW w:type="dxa" w:w="2340"/>
          </w:tcPr>
          <w:p>
            <w:r>
              <w:rPr>
                <w:rFonts w:ascii="Calibri" w:hAnsi="Calibri"/>
                <w:color w:val="333333"/>
                <w:sz w:val="18"/>
              </w:rPr>
              <w:t>None (Sign-in required)</w:t>
            </w:r>
          </w:p>
        </w:tc>
        <w:tc>
          <w:tcPr>
            <w:tcW w:type="dxa" w:w="2340"/>
          </w:tcPr>
          <w:p>
            <w:r>
              <w:rPr>
                <w:rFonts w:ascii="Calibri" w:hAnsi="Calibri"/>
                <w:color w:val="333333"/>
                <w:sz w:val="18"/>
              </w:rPr>
              <w:t>CCTV</w:t>
            </w:r>
          </w:p>
        </w:tc>
      </w:tr>
      <w:tr>
        <w:tc>
          <w:tcPr>
            <w:tcW w:type="dxa" w:w="2340"/>
            <w:shd w:fill="F2F6FA" w:val="clear"/>
          </w:tcPr>
          <w:p>
            <w:r>
              <w:rPr>
                <w:rFonts w:ascii="Calibri" w:hAnsi="Calibri"/>
                <w:color w:val="333333"/>
                <w:sz w:val="18"/>
              </w:rPr>
              <w:t>General Office</w:t>
            </w:r>
          </w:p>
        </w:tc>
        <w:tc>
          <w:tcPr>
            <w:tcW w:type="dxa" w:w="2340"/>
            <w:shd w:fill="F2F6FA" w:val="clear"/>
          </w:tcPr>
          <w:p>
            <w:r>
              <w:rPr>
                <w:rFonts w:ascii="Calibri" w:hAnsi="Calibri"/>
                <w:color w:val="333333"/>
                <w:sz w:val="18"/>
              </w:rPr>
              <w:t>Workstations, Pantries</w:t>
            </w:r>
          </w:p>
        </w:tc>
        <w:tc>
          <w:tcPr>
            <w:tcW w:type="dxa" w:w="2340"/>
            <w:shd w:fill="F2F6FA" w:val="clear"/>
          </w:tcPr>
          <w:p>
            <w:r>
              <w:rPr>
                <w:rFonts w:ascii="Calibri" w:hAnsi="Calibri"/>
                <w:color w:val="333333"/>
                <w:sz w:val="18"/>
              </w:rPr>
              <w:t>RFID Badge</w:t>
            </w:r>
          </w:p>
        </w:tc>
        <w:tc>
          <w:tcPr>
            <w:tcW w:type="dxa" w:w="2340"/>
            <w:shd w:fill="F2F6FA" w:val="clear"/>
          </w:tcPr>
          <w:p>
            <w:r>
              <w:rPr>
                <w:rFonts w:ascii="Calibri" w:hAnsi="Calibri"/>
                <w:color w:val="333333"/>
                <w:sz w:val="18"/>
              </w:rPr>
              <w:t>CCTV at entry</w:t>
            </w:r>
          </w:p>
        </w:tc>
      </w:tr>
      <w:tr>
        <w:tc>
          <w:tcPr>
            <w:tcW w:type="dxa" w:w="2340"/>
          </w:tcPr>
          <w:p>
            <w:r>
              <w:rPr>
                <w:rFonts w:ascii="Calibri" w:hAnsi="Calibri"/>
                <w:color w:val="333333"/>
                <w:sz w:val="18"/>
              </w:rPr>
              <w:t>Secure Areas</w:t>
            </w:r>
          </w:p>
        </w:tc>
        <w:tc>
          <w:tcPr>
            <w:tcW w:type="dxa" w:w="2340"/>
          </w:tcPr>
          <w:p>
            <w:r>
              <w:rPr>
                <w:rFonts w:ascii="Calibri" w:hAnsi="Calibri"/>
                <w:color w:val="333333"/>
                <w:sz w:val="18"/>
              </w:rPr>
              <w:t>Finance, Legal, Server Rooms</w:t>
            </w:r>
          </w:p>
        </w:tc>
        <w:tc>
          <w:tcPr>
            <w:tcW w:type="dxa" w:w="2340"/>
          </w:tcPr>
          <w:p>
            <w:r>
              <w:rPr>
                <w:rFonts w:ascii="Calibri" w:hAnsi="Calibri"/>
                <w:color w:val="333333"/>
                <w:sz w:val="18"/>
              </w:rPr>
              <w:t>Biometric + RFID</w:t>
            </w:r>
          </w:p>
        </w:tc>
        <w:tc>
          <w:tcPr>
            <w:tcW w:type="dxa" w:w="2340"/>
          </w:tcPr>
          <w:p>
            <w:r>
              <w:rPr>
                <w:rFonts w:ascii="Calibri" w:hAnsi="Calibri"/>
                <w:color w:val="333333"/>
                <w:sz w:val="18"/>
              </w:rPr>
              <w:t>CCTV Continuous</w:t>
            </w:r>
          </w:p>
        </w:tc>
      </w:tr>
      <w:tr>
        <w:tc>
          <w:tcPr>
            <w:tcW w:type="dxa" w:w="2340"/>
            <w:shd w:fill="F2F6FA" w:val="clear"/>
          </w:tcPr>
          <w:p>
            <w:r>
              <w:rPr>
                <w:rFonts w:ascii="Calibri" w:hAnsi="Calibri"/>
                <w:color w:val="333333"/>
                <w:sz w:val="18"/>
              </w:rPr>
              <w:t>Restricted</w:t>
            </w:r>
          </w:p>
        </w:tc>
        <w:tc>
          <w:tcPr>
            <w:tcW w:type="dxa" w:w="2340"/>
            <w:shd w:fill="F2F6FA" w:val="clear"/>
          </w:tcPr>
          <w:p>
            <w:r>
              <w:rPr>
                <w:rFonts w:ascii="Calibri" w:hAnsi="Calibri"/>
                <w:color w:val="333333"/>
                <w:sz w:val="18"/>
              </w:rPr>
              <w:t>Data Centers, SOC</w:t>
            </w:r>
          </w:p>
        </w:tc>
        <w:tc>
          <w:tcPr>
            <w:tcW w:type="dxa" w:w="2340"/>
            <w:shd w:fill="F2F6FA" w:val="clear"/>
          </w:tcPr>
          <w:p>
            <w:r>
              <w:rPr>
                <w:rFonts w:ascii="Calibri" w:hAnsi="Calibri"/>
                <w:color w:val="333333"/>
                <w:sz w:val="18"/>
              </w:rPr>
              <w:t>Mantrap, Dual Auth</w:t>
            </w:r>
          </w:p>
        </w:tc>
        <w:tc>
          <w:tcPr>
            <w:tcW w:type="dxa" w:w="2340"/>
            <w:shd w:fill="F2F6FA" w:val="clear"/>
          </w:tcPr>
          <w:p>
            <w:r>
              <w:rPr>
                <w:rFonts w:ascii="Calibri" w:hAnsi="Calibri"/>
                <w:color w:val="333333"/>
                <w:sz w:val="18"/>
              </w:rPr>
              <w:t>24x7 Guard + CCTV</w:t>
            </w:r>
          </w:p>
        </w:tc>
      </w:tr>
    </w:tbl>
    <w:p/>
    <w:p>
      <w:pPr>
        <w:pStyle w:val="Heading1"/>
      </w:pPr>
      <w:r>
        <w:t>2. Access Control &amp; Badges</w:t>
      </w:r>
    </w:p>
    <w:p>
      <w:pPr>
        <w:pStyle w:val="ListBullet"/>
      </w:pPr>
      <w:r>
        <w:t>Permanent employee: Photo ID.</w:t>
      </w:r>
    </w:p>
    <w:p>
      <w:pPr>
        <w:pStyle w:val="ListBullet"/>
      </w:pPr>
      <w:r>
        <w:t>Contractor: Photo ID with expiry date (different color).</w:t>
      </w:r>
    </w:p>
    <w:p>
      <w:pPr>
        <w:pStyle w:val="ListBullet"/>
      </w:pPr>
      <w:r>
        <w:t>Visitor: Day pass with continuous escort requirement.</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r>
        <w:t>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action.Tailgating prevention must be strictly adhered to by all personnel. Security officers will conduct random checks and any tailgating events will result in HR disciplinary action.</w:t>
      </w:r>
    </w:p>
    <w:p>
      <w:pPr>
        <w:pStyle w:val="Heading1"/>
      </w:pPr>
      <w:r>
        <w:t>3. Office Hours</w:t>
      </w:r>
    </w:p>
    <w:p>
      <w:pPr/>
      <w:r>
        <w:t>Standard hours: 07:00-22:00. 24x7 access for badged employees in Bengaluru HQ and Hyderabad. Other locations require manager approval for after-hours access.</w:t>
      </w:r>
    </w:p>
    <w:p>
      <w:pPr>
        <w:pStyle w:val="Heading1"/>
      </w:pPr>
      <w:r>
        <w:t>4. Clean Desk Policy</w:t>
      </w:r>
    </w:p>
    <w:p>
      <w:pPr/>
      <w:r>
        <w:t>Clear desk end of day, lock screens, secure documents, shred sensitive documents. Non-compliance will result in violation notices.</w:t>
      </w:r>
    </w:p>
    <w:p>
      <w:r>
        <w:rPr>
          <w:rFonts w:ascii="Calibri" w:hAnsi="Calibri"/>
          <w:b/>
          <w:color w:val="1B3A5C"/>
          <w:sz w:val="22"/>
        </w:rPr>
        <w:t>Q: What if I lose my badge (Scenario #1)?</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#2)?</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#3)?</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#4)?</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#5)?</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#6)?</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#7)?</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#8)?</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#9)?</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#10)?</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#11)?</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#12)?</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#13)?</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#14)?</w:t>
      </w:r>
    </w:p>
    <w:p>
      <w:pPr>
        <w:spacing w:after="240"/>
      </w:pPr>
      <w:r>
        <w:rPr>
          <w:rFonts w:ascii="Calibri" w:hAnsi="Calibri"/>
          <w:color w:val="333333"/>
          <w:sz w:val="22"/>
        </w:rPr>
        <w:t>A: Report within 2 hours to Physical Security. Immediate deactivation will occur. Replacement badge issued within 24 hours.</w:t>
      </w:r>
    </w:p>
    <w:p>
      <w:r>
        <w:rPr>
          <w:rFonts w:ascii="Calibri" w:hAnsi="Calibri"/>
          <w:b/>
          <w:color w:val="1B3A5C"/>
          <w:sz w:val="22"/>
        </w:rPr>
        <w:t>Q: What if I lose my badge (Scenario #15)?</w:t>
      </w:r>
    </w:p>
    <w:p>
      <w:pPr>
        <w:spacing w:after="240"/>
      </w:pPr>
      <w:r>
        <w:rPr>
          <w:rFonts w:ascii="Calibri" w:hAnsi="Calibri"/>
          <w:color w:val="333333"/>
          <w:sz w:val="22"/>
        </w:rPr>
        <w:t>A: Report within 2 hours to Physical Security. Immediate deactivation will occur. Replacement badge issued within 24 hours.</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1.2</w:t>
            </w:r>
          </w:p>
        </w:tc>
        <w:tc>
          <w:tcPr>
            <w:tcW w:type="dxa" w:w="1872"/>
          </w:tcPr>
          <w:p>
            <w:r>
              <w:rPr>
                <w:rFonts w:ascii="Calibri" w:hAnsi="Calibri"/>
                <w:color w:val="333333"/>
                <w:sz w:val="18"/>
              </w:rPr>
              <w:t>2026-04-15</w:t>
            </w:r>
          </w:p>
        </w:tc>
        <w:tc>
          <w:tcPr>
            <w:tcW w:type="dxa" w:w="2160"/>
          </w:tcPr>
          <w:p>
            <w:r>
              <w:rPr>
                <w:rFonts w:ascii="Calibri" w:hAnsi="Calibri"/>
                <w:color w:val="333333"/>
                <w:sz w:val="18"/>
              </w:rPr>
              <w:t>COO</w:t>
            </w:r>
          </w:p>
        </w:tc>
        <w:tc>
          <w:tcPr>
            <w:tcW w:type="dxa" w:w="4320"/>
          </w:tcPr>
          <w:p>
            <w:r>
              <w:rPr>
                <w:rFonts w:ascii="Calibri" w:hAnsi="Calibri"/>
                <w:color w:val="333333"/>
                <w:sz w:val="18"/>
              </w:rPr>
              <w:t>Updated biometric rules for secure areas.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CORP-003</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