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Corporate Communications and Media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CORP-004</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Operating Officer (COO)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Executive Officer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CORP-004</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Corporate Communications and Media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1.3</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Operating Officer (COO)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Executive Officer (CEO)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May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May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November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CORP-005, HR-002, SEC-006, SEC-009, LEGAL-006</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Authorized Spokespersons</w:t>
      </w:r>
    </w:p>
    <w:p>
      <w:pPr/>
      <w:r>
        <w:t>Only the CEO, CRO, and COO are authorized to speak for the business. CTO may speak on technical matters. Designated PR team handles general inquiries. All others are strictly prohibited from making statements on behalf of Vistara Global Systems.</w:t>
      </w:r>
    </w:p>
    <w:p>
      <w:pPr>
        <w:pStyle w:val="Heading1"/>
      </w:pPr>
      <w:r>
        <w:t>2. Media Inquiries</w:t>
      </w:r>
    </w:p>
    <w:p>
      <w:pPr/>
      <w:r>
        <w:t>All media requests must be routed to communications@vistaraglobal.com within 1 hour of receipt. No commenting on litigation or investigations.</w:t>
      </w:r>
    </w:p>
    <w:p>
      <w:pPr>
        <w:pStyle w:val="Heading1"/>
      </w:pPr>
      <w:r>
        <w:t>3. Social Media Guidelines</w:t>
      </w:r>
    </w:p>
    <w:p>
      <w:pPr>
        <w:pStyle w:val="ListBullet"/>
      </w:pPr>
      <w:r>
        <w:t>Personal Social Media: No company representation without authorization.</w:t>
      </w:r>
    </w:p>
    <w:p>
      <w:pPr>
        <w:pStyle w:val="ListBullet"/>
      </w:pPr>
      <w:r>
        <w:t>Confidentiality: No disclosure of internal Vistara metrics or unreleased products.</w:t>
      </w:r>
    </w:p>
    <w:p>
      <w:pPr>
        <w:pStyle w:val="ListBullet"/>
      </w:pPr>
      <w:r>
        <w:t>Disclaimers: Include 'Views are my own' if discussing the enterprise software/cloud computing industry.</w:t>
      </w:r>
    </w:p>
    <w:p>
      <w:pPr>
        <w:pStyle w:val="ListBullet"/>
      </w:pPr>
      <w:r>
        <w:t>Corporate Accounts: Managed strictly by Marketing with approval workflows.</w:t>
      </w:r>
    </w:p>
    <w:p>
      <w:pPr/>
      <w:r>
        <w:t>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w:t>
      </w:r>
    </w:p>
    <w:p>
      <w:pPr/>
      <w:r>
        <w:t>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w:t>
      </w:r>
    </w:p>
    <w:p>
      <w:pPr/>
      <w:r>
        <w:t>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w:t>
      </w:r>
    </w:p>
    <w:p>
      <w:pPr/>
      <w:r>
        <w:t>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w:t>
      </w:r>
    </w:p>
    <w:p>
      <w:pPr/>
      <w:r>
        <w:t>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w:t>
      </w:r>
    </w:p>
    <w:p>
      <w:pPr/>
      <w:r>
        <w:t>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w:t>
      </w:r>
    </w:p>
    <w:p>
      <w:pPr/>
      <w:r>
        <w:t>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w:t>
      </w:r>
    </w:p>
    <w:p>
      <w:pPr/>
      <w:r>
        <w:t>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w:t>
      </w:r>
    </w:p>
    <w:p>
      <w:pPr/>
      <w:r>
        <w:t>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w:t>
      </w:r>
    </w:p>
    <w:p>
      <w:pPr/>
      <w:r>
        <w:t>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w:t>
      </w:r>
    </w:p>
    <w:p>
      <w:pPr/>
      <w:r>
        <w:t>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w:t>
      </w:r>
    </w:p>
    <w:p>
      <w:pPr/>
      <w:r>
        <w:t>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termination.Conference speaking, blog posts, and external articles must be pre-approved by the communications team. Any violation risks a breach of SEC-006 and may result in termination.</w:t>
      </w:r>
    </w:p>
    <w:p>
      <w:r>
        <w:rPr>
          <w:rFonts w:ascii="Calibri" w:hAnsi="Calibri"/>
          <w:b/>
          <w:color w:val="1B3A5C"/>
          <w:sz w:val="22"/>
        </w:rPr>
        <w:t>Q: Media Handling FAQ #1</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#2</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#3</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#4</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#5</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#6</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#7</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#8</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#9</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#10</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#11</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#12</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#13</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#14</w:t>
      </w:r>
    </w:p>
    <w:p>
      <w:pPr>
        <w:spacing w:after="240"/>
      </w:pPr>
      <w:r>
        <w:rPr>
          <w:rFonts w:ascii="Calibri" w:hAnsi="Calibri"/>
          <w:color w:val="333333"/>
          <w:sz w:val="22"/>
        </w:rPr>
        <w:t>A: Forward to communications@vistaraglobal.com immediately.</w:t>
      </w:r>
    </w:p>
    <w:p>
      <w:r>
        <w:rPr>
          <w:rFonts w:ascii="Calibri" w:hAnsi="Calibri"/>
          <w:b/>
          <w:color w:val="1B3A5C"/>
          <w:sz w:val="22"/>
        </w:rPr>
        <w:t>Q: Media Handling FAQ #15</w:t>
      </w:r>
    </w:p>
    <w:p>
      <w:pPr>
        <w:spacing w:after="240"/>
      </w:pPr>
      <w:r>
        <w:rPr>
          <w:rFonts w:ascii="Calibri" w:hAnsi="Calibri"/>
          <w:color w:val="333333"/>
          <w:sz w:val="22"/>
        </w:rPr>
        <w:t>A: Forward to communications@vistaraglobal.com immediately.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1.3</w:t>
            </w:r>
          </w:p>
        </w:tc>
        <w:tc>
          <w:tcPr>
            <w:tcW w:type="dxa" w:w="1872"/>
          </w:tcPr>
          <w:p>
            <w:r>
              <w:rPr>
                <w:rFonts w:ascii="Calibri" w:hAnsi="Calibri"/>
                <w:color w:val="333333"/>
                <w:sz w:val="18"/>
              </w:rPr>
              <w:t>2026-05-01</w:t>
            </w:r>
          </w:p>
        </w:tc>
        <w:tc>
          <w:tcPr>
            <w:tcW w:type="dxa" w:w="2160"/>
          </w:tcPr>
          <w:p>
            <w:r>
              <w:rPr>
                <w:rFonts w:ascii="Calibri" w:hAnsi="Calibri"/>
                <w:color w:val="333333"/>
                <w:sz w:val="18"/>
              </w:rPr>
              <w:t>COO</w:t>
            </w:r>
          </w:p>
        </w:tc>
        <w:tc>
          <w:tcPr>
            <w:tcW w:type="dxa" w:w="4320"/>
          </w:tcPr>
          <w:p>
            <w:r>
              <w:rPr>
                <w:rFonts w:ascii="Calibri" w:hAnsi="Calibri"/>
                <w:color w:val="333333"/>
                <w:sz w:val="18"/>
              </w:rPr>
              <w:t>Added strict SLA for media inquiry forwarding.</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CORP-004</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