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AI Data Privacy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AI-003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November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AI-003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AI Data Privacy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November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Data and AI practitioners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AI-001, AI-002, AI-004, DATA-001, DATA-002, DATA-004, DATA-007, DATA-008, SEC-005, HR-006,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AI Data Lifecycle &amp; Privacy</w:t>
      </w:r>
    </w:p>
    <w:p>
      <w:pPr/>
      <w:r>
        <w:t>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 This policy outlines the privacy requirements for training and inferencing AI models. Under no circumstances will customer data be used for training without explicit written consent.</w:t>
      </w:r>
    </w:p>
    <w:p>
      <w:pPr>
        <w:pStyle w:val="Heading1"/>
      </w:pPr>
      <w:r>
        <w:t>2. Privacy Controls - Section 2</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2</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3. Privacy Controls - Section 3</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3</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4. Privacy Controls - Section 4</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4</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5. Privacy Controls - Section 5</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5</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6. Privacy Controls - Section 6</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6</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7. Privacy Controls - Section 7</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7</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8. Privacy Controls - Section 8</w:t>
      </w:r>
    </w:p>
    <w:p>
      <w:pPr/>
      <w:r>
        <w:t>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 Privacy Impact Assessments (PIA) are mandatory before deploying any model processing personal data. Automated decision-making must include a right to explanation and human review.</w:t>
      </w:r>
    </w:p>
    <w:p>
      <w:pPr>
        <w:pStyle w:val="Heading3"/>
      </w:pPr>
      <w:r>
        <w:t>Privacy Scenario 8</w:t>
      </w:r>
    </w:p>
    <w:p>
      <w:r>
        <w:rPr>
          <w:b/>
          <w:color w:val="1B3A5C"/>
        </w:rPr>
        <w:t xml:space="preserve">Situation: </w:t>
      </w:r>
      <w:r>
        <w:t>Using production data to train a new classifier.</w:t>
      </w:r>
    </w:p>
    <w:p>
      <w:r>
        <w:rPr>
          <w:b/>
          <w:color w:val="1B3A5C"/>
        </w:rPr>
        <w:t xml:space="preserve">Relevant Requirements: </w:t>
      </w:r>
      <w:r>
        <w:t>Prohibited unless anonymized or explicit consent acquired.</w:t>
      </w:r>
    </w:p>
    <w:p>
      <w:r>
        <w:rPr>
          <w:b/>
          <w:color w:val="1B3A5C"/>
        </w:rPr>
        <w:t xml:space="preserve">Expected Process: </w:t>
      </w:r>
      <w:r>
        <w:t>Engage privacy team for PIA; use synthetic data instead.</w:t>
      </w:r>
    </w:p>
    <w:p>
      <w:r>
        <w:rPr>
          <w:b/>
          <w:color w:val="1B3A5C"/>
        </w:rPr>
        <w:t xml:space="preserve">Outcome: </w:t>
      </w:r>
      <w:r>
        <w:t>Model trained legally using synthetic data.</w:t>
      </w:r>
    </w:p>
    <w:p/>
    <w:p>
      <w:pPr>
        <w:pStyle w:val="Heading1"/>
      </w:pPr>
      <w:r>
        <w:t>9. Frequently Asked Questions (FAQ)</w:t>
      </w:r>
    </w:p>
    <w:p>
      <w:r>
        <w:rPr>
          <w:rFonts w:ascii="Calibri" w:hAnsi="Calibri"/>
          <w:b/>
          <w:color w:val="1B3A5C"/>
          <w:sz w:val="22"/>
        </w:rPr>
        <w:t>Q: FAQ 1: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2: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3: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4: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5: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6: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7: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8: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9: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10: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11: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r>
        <w:rPr>
          <w:rFonts w:ascii="Calibri" w:hAnsi="Calibri"/>
          <w:b/>
          <w:color w:val="1B3A5C"/>
          <w:sz w:val="22"/>
        </w:rPr>
        <w:t>Q: FAQ 12: Can we use real customer emails to train a sentiment analyzer?</w:t>
      </w:r>
    </w:p>
    <w:p>
      <w:pPr>
        <w:spacing w:after="240"/>
      </w:pPr>
      <w:r>
        <w:rPr>
          <w:rFonts w:ascii="Calibri" w:hAnsi="Calibri"/>
          <w:color w:val="333333"/>
          <w:sz w:val="22"/>
        </w:rPr>
        <w:t xml:space="preserve">A: No. You must generate synthetic equivalents or obtain explicit consent as per DATA-008. No. You must generate synthetic equivalents or obtain explicit consent as per DATA-008. No. You must generate synthetic equivalents or obtain explicit consent as per DATA-008. </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May 2026</w:t>
            </w:r>
          </w:p>
        </w:tc>
        <w:tc>
          <w:tcPr>
            <w:tcW w:type="dxa" w:w="2160"/>
          </w:tcPr>
          <w:p>
            <w:r>
              <w:rPr>
                <w:rFonts w:ascii="Calibri" w:hAnsi="Calibri"/>
                <w:color w:val="333333"/>
                <w:sz w:val="18"/>
              </w:rPr>
              <w:t>CISO</w:t>
            </w:r>
          </w:p>
        </w:tc>
        <w:tc>
          <w:tcPr>
            <w:tcW w:type="dxa" w:w="4320"/>
          </w:tcPr>
          <w:p>
            <w:r>
              <w:rPr>
                <w:rFonts w:ascii="Calibri" w:hAnsi="Calibri"/>
                <w:color w:val="333333"/>
                <w:sz w:val="18"/>
              </w:rPr>
              <w:t>Update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AI-003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