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AI-Assisted Software Development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AI-004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Engineering</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December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AI-004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AI-Assisted Software Development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Engineering</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December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Software Engineers and Developers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AI-001, AI-002, AI-003, ENG-001, ENG-004, ENG-005, SEC-001, SEC-005, LEGAL-005</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Approved AI Coding Tools</w:t>
      </w:r>
    </w:p>
    <w:p>
      <w:pPr/>
      <w:r>
        <w:t>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 AI pair programmers significantly boost developer productivity. Vistara approves GitHub Copilot Enterprise and Vistara AI Assistant. All other tools, including free tiers of ChatGPT and Claude, are strictly prohibited for coding.</w:t>
      </w:r>
    </w:p>
    <w:p>
      <w:pPr>
        <w:pStyle w:val="Heading1"/>
      </w:pPr>
      <w:r>
        <w:t>2. Developer Guidelines - Section 2</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2</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3. Developer Guidelines - Section 3</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3</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4. Developer Guidelines - Section 4</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4</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5. Developer Guidelines - Section 5</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5</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6. Developer Guidelines - Section 6</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6</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7. Developer Guidelines - Section 7</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7</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8. Developer Guidelines - Section 8</w:t>
      </w:r>
    </w:p>
    <w:p>
      <w:pPr/>
      <w:r>
        <w:t>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 Developers remain wholly responsible for AI-generated code. Code reviews must thoroughly inspect AI outputs, especially in security-sensitive modules. Automated merging of AI-generated PRs is forbidden.</w:t>
      </w:r>
    </w:p>
    <w:p>
      <w:pPr>
        <w:pStyle w:val="Heading3"/>
      </w:pPr>
      <w:r>
        <w:t>Dev Scenario 8</w:t>
      </w:r>
    </w:p>
    <w:p>
      <w:r>
        <w:rPr>
          <w:b/>
          <w:color w:val="1B3A5C"/>
        </w:rPr>
        <w:t xml:space="preserve">Situation: </w:t>
      </w:r>
      <w:r>
        <w:t>AI suggests a cryptography implementation.</w:t>
      </w:r>
    </w:p>
    <w:p>
      <w:r>
        <w:rPr>
          <w:b/>
          <w:color w:val="1B3A5C"/>
        </w:rPr>
        <w:t xml:space="preserve">Relevant Requirements: </w:t>
      </w:r>
      <w:r>
        <w:t>Must undergo rigorous security review per ENG-001.</w:t>
      </w:r>
    </w:p>
    <w:p>
      <w:r>
        <w:rPr>
          <w:b/>
          <w:color w:val="1B3A5C"/>
        </w:rPr>
        <w:t xml:space="preserve">Expected Process: </w:t>
      </w:r>
      <w:r>
        <w:t>Developer verifies algorithm, submits PR with AI flag.</w:t>
      </w:r>
    </w:p>
    <w:p>
      <w:r>
        <w:rPr>
          <w:b/>
          <w:color w:val="1B3A5C"/>
        </w:rPr>
        <w:t xml:space="preserve">Outcome: </w:t>
      </w:r>
      <w:r>
        <w:t>PR merged after Senior Architect approval.</w:t>
      </w:r>
    </w:p>
    <w:p/>
    <w:p>
      <w:pPr>
        <w:pStyle w:val="Heading1"/>
      </w:pPr>
      <w:r>
        <w:t>9. Frequently Asked Questions (FAQ)</w:t>
      </w:r>
    </w:p>
    <w:p>
      <w:r>
        <w:rPr>
          <w:rFonts w:ascii="Calibri" w:hAnsi="Calibri"/>
          <w:b/>
          <w:color w:val="1B3A5C"/>
          <w:sz w:val="22"/>
        </w:rPr>
        <w:t>Q: FAQ 1: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2: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3: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4: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5: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6: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7: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8: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9: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10: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11: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r>
        <w:rPr>
          <w:rFonts w:ascii="Calibri" w:hAnsi="Calibri"/>
          <w:b/>
          <w:color w:val="1B3A5C"/>
          <w:sz w:val="22"/>
        </w:rPr>
        <w:t>Q: FAQ 12: Who owns the IP of AI-generated code?</w:t>
      </w:r>
    </w:p>
    <w:p>
      <w:pPr>
        <w:spacing w:after="240"/>
      </w:pPr>
      <w:r>
        <w:rPr>
          <w:rFonts w:ascii="Calibri" w:hAnsi="Calibri"/>
          <w:color w:val="333333"/>
          <w:sz w:val="22"/>
        </w:rPr>
        <w:t xml:space="preserve">A: Vistara Global Systems retains all IP rights to code generated using approved enterprise tools in the course of employment. Vistara Global Systems retains all IP rights to code generated using approved enterprise tools in the course of employment. Vistara Global Systems retains all IP rights to code generated using approved enterprise tools in the course of employment. </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June 2026</w:t>
            </w:r>
          </w:p>
        </w:tc>
        <w:tc>
          <w:tcPr>
            <w:tcW w:type="dxa" w:w="2160"/>
          </w:tcPr>
          <w:p>
            <w:r>
              <w:rPr>
                <w:rFonts w:ascii="Calibri" w:hAnsi="Calibri"/>
                <w:color w:val="333333"/>
                <w:sz w:val="18"/>
              </w:rPr>
              <w:t>VP Engineering</w:t>
            </w:r>
          </w:p>
        </w:tc>
        <w:tc>
          <w:tcPr>
            <w:tcW w:type="dxa" w:w="4320"/>
          </w:tcPr>
          <w:p>
            <w:r>
              <w:rPr>
                <w:rFonts w:ascii="Calibri" w:hAnsi="Calibri"/>
                <w:color w:val="333333"/>
                <w:sz w:val="18"/>
              </w:rPr>
              <w:t>Copilot Enterprise approval added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AI-004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