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FE" w:rsidRDefault="00662122" w:rsidP="00662122">
      <w:pPr>
        <w:pStyle w:val="Heading2"/>
        <w:rPr>
          <w:sz w:val="40"/>
        </w:rPr>
      </w:pPr>
      <w:r>
        <w:rPr>
          <w:sz w:val="40"/>
        </w:rPr>
        <w:t xml:space="preserve">TITLE: EFFECT ON THE DEVELOPMENT OF NATIONS THROUGH THE CHANNEL OF MORTALITIES AND </w:t>
      </w:r>
      <w:r w:rsidR="00B11E14">
        <w:rPr>
          <w:sz w:val="40"/>
        </w:rPr>
        <w:t>POVERTY.</w:t>
      </w:r>
    </w:p>
    <w:p w:rsidR="00B11E14" w:rsidRDefault="00B11E14" w:rsidP="00B11E14">
      <w:pPr>
        <w:pStyle w:val="Subtitle"/>
        <w:jc w:val="right"/>
      </w:pPr>
      <w:r>
        <w:t>NAME: PULKIT DUTTA</w:t>
      </w:r>
    </w:p>
    <w:p w:rsidR="00B11E14" w:rsidRDefault="00B11E14" w:rsidP="00B11E14">
      <w:pPr>
        <w:pStyle w:val="Subtitle"/>
        <w:jc w:val="right"/>
      </w:pPr>
      <w:r>
        <w:t>DR.B.R. AMBEDKAR UNIVERSITY, DELHI</w:t>
      </w:r>
    </w:p>
    <w:p w:rsidR="00B11E14" w:rsidRPr="00B11E14" w:rsidRDefault="00B11E14" w:rsidP="00B11E14">
      <w:pPr>
        <w:pStyle w:val="Subtitle"/>
        <w:jc w:val="right"/>
      </w:pPr>
      <w:r>
        <w:t>ROLL NUMBER: S203DEC28</w:t>
      </w:r>
    </w:p>
    <w:p w:rsidR="00697022" w:rsidRDefault="002B43FE" w:rsidP="002B43FE">
      <w:pPr>
        <w:pStyle w:val="Heading1"/>
        <w:rPr>
          <w:sz w:val="36"/>
        </w:rPr>
      </w:pPr>
      <w:r w:rsidRPr="002B43FE">
        <w:rPr>
          <w:sz w:val="36"/>
        </w:rPr>
        <w:t>INTRODUCTION</w:t>
      </w:r>
    </w:p>
    <w:p w:rsidR="000109CE" w:rsidRDefault="0078235D" w:rsidP="002B43FE">
      <w:pPr>
        <w:rPr>
          <w:sz w:val="24"/>
        </w:rPr>
      </w:pPr>
      <w:r>
        <w:rPr>
          <w:sz w:val="24"/>
        </w:rPr>
        <w:t xml:space="preserve">This paper will discuss about the mortalities and poverty </w:t>
      </w:r>
      <w:r w:rsidR="00BF0248">
        <w:rPr>
          <w:sz w:val="24"/>
        </w:rPr>
        <w:t xml:space="preserve">rate </w:t>
      </w:r>
      <w:proofErr w:type="gramStart"/>
      <w:r w:rsidR="00BF0248">
        <w:rPr>
          <w:sz w:val="24"/>
        </w:rPr>
        <w:t>increases</w:t>
      </w:r>
      <w:r>
        <w:rPr>
          <w:sz w:val="24"/>
        </w:rPr>
        <w:t xml:space="preserve">  due</w:t>
      </w:r>
      <w:proofErr w:type="gramEnd"/>
      <w:r>
        <w:rPr>
          <w:sz w:val="24"/>
        </w:rPr>
        <w:t xml:space="preserve"> to pandemic COVID: 19. COVID: 19 started in Wuhan China in December 2019 and very swiftly it took entire world under its grasp. It</w:t>
      </w:r>
      <w:r w:rsidR="00BF0248">
        <w:rPr>
          <w:sz w:val="24"/>
        </w:rPr>
        <w:t xml:space="preserve"> is</w:t>
      </w:r>
      <w:r>
        <w:rPr>
          <w:sz w:val="24"/>
        </w:rPr>
        <w:t xml:space="preserve"> a highly contagious and deadly virus and had left its impact on many big nations. In this paper we will try and look into the mortalities that certain big nations have to suffer and what is the impact of such casualties on the development of these nations. Not only we are addressing and analyzing development from the mortality rates of a nation but we are also interested in looking at the issue of poverty which surely had expanded due to extensive lockdowns people have to go through. Lockdowns and quarantines had impacted </w:t>
      </w:r>
      <w:r w:rsidR="00BF0248">
        <w:rPr>
          <w:sz w:val="24"/>
        </w:rPr>
        <w:t>individual’s</w:t>
      </w:r>
      <w:r>
        <w:rPr>
          <w:sz w:val="24"/>
        </w:rPr>
        <w:t xml:space="preserve"> earning capacity by either losing their jobs (as their employer could not no longer afford them as employee) or by facing direct impact on revenue generation and thus affecting their profits.</w:t>
      </w:r>
    </w:p>
    <w:p w:rsidR="002B43FE" w:rsidRDefault="000109CE" w:rsidP="002B43FE">
      <w:pPr>
        <w:rPr>
          <w:sz w:val="24"/>
        </w:rPr>
      </w:pPr>
      <w:r>
        <w:rPr>
          <w:sz w:val="24"/>
        </w:rPr>
        <w:t xml:space="preserve">To see the changes in development patterns of the nation’s we will simple just look at the GDP per capita of the nations. Majorly the countries that we are interested in are United States of America, England, India, and Spain. </w:t>
      </w:r>
      <w:r w:rsidR="00143CC3">
        <w:rPr>
          <w:sz w:val="24"/>
        </w:rPr>
        <w:t>Among the countries that I will be analyzing in this paper are developed nations</w:t>
      </w:r>
      <w:r w:rsidR="00BF0248">
        <w:rPr>
          <w:sz w:val="24"/>
        </w:rPr>
        <w:t xml:space="preserve"> (United States of America and England) and</w:t>
      </w:r>
      <w:r w:rsidR="00143CC3">
        <w:rPr>
          <w:sz w:val="24"/>
        </w:rPr>
        <w:t xml:space="preserve"> </w:t>
      </w:r>
      <w:r w:rsidR="00BF0248">
        <w:rPr>
          <w:sz w:val="24"/>
        </w:rPr>
        <w:t>the developing</w:t>
      </w:r>
      <w:r w:rsidR="00143CC3">
        <w:rPr>
          <w:sz w:val="24"/>
        </w:rPr>
        <w:t xml:space="preserve"> nations</w:t>
      </w:r>
      <w:r w:rsidR="00BF0248">
        <w:rPr>
          <w:sz w:val="24"/>
        </w:rPr>
        <w:t xml:space="preserve"> (Spain and India)</w:t>
      </w:r>
      <w:r w:rsidR="00143CC3">
        <w:rPr>
          <w:sz w:val="24"/>
        </w:rPr>
        <w:t>. This selection of countries is completely random and unbiased. The purpose behind learning the effects of pandemic on both developed and developing countries is to make our analysis more genuine</w:t>
      </w:r>
      <w:r w:rsidR="00BF0248">
        <w:rPr>
          <w:sz w:val="24"/>
        </w:rPr>
        <w:t xml:space="preserve"> and efficient</w:t>
      </w:r>
      <w:r w:rsidR="00143CC3">
        <w:rPr>
          <w:sz w:val="24"/>
        </w:rPr>
        <w:t>.</w:t>
      </w:r>
    </w:p>
    <w:p w:rsidR="00143CC3" w:rsidRDefault="00143CC3" w:rsidP="00143CC3">
      <w:pPr>
        <w:pStyle w:val="Heading1"/>
        <w:rPr>
          <w:sz w:val="36"/>
        </w:rPr>
      </w:pPr>
      <w:r>
        <w:rPr>
          <w:sz w:val="36"/>
        </w:rPr>
        <w:t>METHODOLY</w:t>
      </w:r>
    </w:p>
    <w:p w:rsidR="00143CC3" w:rsidRDefault="00143CC3" w:rsidP="00143CC3">
      <w:pPr>
        <w:rPr>
          <w:sz w:val="24"/>
        </w:rPr>
      </w:pPr>
      <w:r w:rsidRPr="00662122">
        <w:rPr>
          <w:sz w:val="24"/>
        </w:rPr>
        <w:t xml:space="preserve">To </w:t>
      </w:r>
      <w:r w:rsidR="00662122" w:rsidRPr="00662122">
        <w:rPr>
          <w:sz w:val="24"/>
        </w:rPr>
        <w:t xml:space="preserve">come at results of this paper we will compare the mortality rates </w:t>
      </w:r>
      <w:r w:rsidR="00662122">
        <w:rPr>
          <w:sz w:val="24"/>
        </w:rPr>
        <w:t>before pandemic of</w:t>
      </w:r>
      <w:r w:rsidR="00662122" w:rsidRPr="00662122">
        <w:rPr>
          <w:sz w:val="24"/>
        </w:rPr>
        <w:t xml:space="preserve"> both developed and developing</w:t>
      </w:r>
      <w:r w:rsidR="00662122">
        <w:rPr>
          <w:sz w:val="24"/>
        </w:rPr>
        <w:t xml:space="preserve"> nations </w:t>
      </w:r>
      <w:r w:rsidR="00662122" w:rsidRPr="00662122">
        <w:rPr>
          <w:sz w:val="24"/>
        </w:rPr>
        <w:t>with</w:t>
      </w:r>
      <w:r w:rsidR="00662122">
        <w:rPr>
          <w:sz w:val="24"/>
        </w:rPr>
        <w:t xml:space="preserve"> the mortality rates of these nations after COVID: 19. And later we will also see what effects does it holds on the per capita GDP of these nations. We will be using graphical representation of these data to make the analysis more feasible.</w:t>
      </w:r>
    </w:p>
    <w:p w:rsidR="00662122" w:rsidRDefault="00662122" w:rsidP="00143CC3">
      <w:pPr>
        <w:rPr>
          <w:sz w:val="24"/>
        </w:rPr>
      </w:pPr>
      <w:r>
        <w:rPr>
          <w:sz w:val="24"/>
        </w:rPr>
        <w:lastRenderedPageBreak/>
        <w:t>As our paper is discussing the effect on development by both mortalities and poverty after COVID: 19, we will use this same analysis of comparing poverty rates both before and after pandemic and will thus look into per capita GDP to reach our result.</w:t>
      </w:r>
    </w:p>
    <w:p w:rsidR="00662122" w:rsidRDefault="00662122" w:rsidP="00662122">
      <w:pPr>
        <w:pStyle w:val="Heading1"/>
        <w:rPr>
          <w:sz w:val="36"/>
        </w:rPr>
      </w:pPr>
      <w:r>
        <w:rPr>
          <w:sz w:val="36"/>
        </w:rPr>
        <w:t>HEAD</w:t>
      </w:r>
    </w:p>
    <w:p w:rsidR="00B11E14" w:rsidRDefault="00B11E14" w:rsidP="00B11E14">
      <w:pPr>
        <w:rPr>
          <w:sz w:val="24"/>
        </w:rPr>
      </w:pPr>
      <w:r>
        <w:rPr>
          <w:sz w:val="24"/>
        </w:rPr>
        <w:t>Everyone in this world has gone through some tough times in the past. The years 2020 till even today 2022 have left an impact on the mind of people which is never going away anytime soon. This is the time when a deadly pandemic arose in the world named COVID: 19 or CORONAVIRUS. It originated from some part in Wuhan, China due to some toxic present in the body of bats but is so contagious that merely in a time span of a month it took over majority of people in Wuhan and some other people in China under its effect. This virus has brutal mortality rates with itself and thus almost every nation in this world went under Lockdown to prevent any unacceptable range of casualties but anyhow this virus has seen to take many lives with it.</w:t>
      </w:r>
    </w:p>
    <w:p w:rsidR="00835D8F" w:rsidRPr="00835D8F" w:rsidRDefault="00835D8F" w:rsidP="00835D8F">
      <w:pPr>
        <w:jc w:val="center"/>
        <w:rPr>
          <w:rStyle w:val="Emphasis"/>
          <w:sz w:val="36"/>
        </w:rPr>
      </w:pPr>
      <w:r w:rsidRPr="00835D8F">
        <w:rPr>
          <w:rStyle w:val="Emphasis"/>
          <w:sz w:val="36"/>
        </w:rPr>
        <w:t>DEVELOPED NATIONS</w:t>
      </w:r>
    </w:p>
    <w:p w:rsidR="0062579A" w:rsidRPr="0062579A" w:rsidRDefault="0062579A" w:rsidP="0062579A">
      <w:pPr>
        <w:pStyle w:val="Heading3"/>
        <w:rPr>
          <w:sz w:val="32"/>
        </w:rPr>
      </w:pPr>
      <w:r>
        <w:rPr>
          <w:sz w:val="32"/>
        </w:rPr>
        <w:t>UNITED STATES OF AMERICA</w:t>
      </w:r>
    </w:p>
    <w:p w:rsidR="00BF018C" w:rsidRDefault="00BF018C" w:rsidP="00B11E14">
      <w:pPr>
        <w:rPr>
          <w:sz w:val="24"/>
        </w:rPr>
      </w:pPr>
      <w:r>
        <w:rPr>
          <w:sz w:val="24"/>
        </w:rPr>
        <w:t>We will start analyzing our first nation U</w:t>
      </w:r>
      <w:r w:rsidR="00435410">
        <w:rPr>
          <w:sz w:val="24"/>
        </w:rPr>
        <w:t xml:space="preserve">nited </w:t>
      </w:r>
      <w:r>
        <w:rPr>
          <w:sz w:val="24"/>
        </w:rPr>
        <w:t>S</w:t>
      </w:r>
      <w:r w:rsidR="00435410">
        <w:rPr>
          <w:sz w:val="24"/>
        </w:rPr>
        <w:t xml:space="preserve">tates of </w:t>
      </w:r>
      <w:r>
        <w:rPr>
          <w:sz w:val="24"/>
        </w:rPr>
        <w:t>A</w:t>
      </w:r>
      <w:r w:rsidR="00435410">
        <w:rPr>
          <w:sz w:val="24"/>
        </w:rPr>
        <w:t>merica</w:t>
      </w:r>
      <w:r>
        <w:rPr>
          <w:sz w:val="24"/>
        </w:rPr>
        <w:t xml:space="preserve">. Mortality rate of United States of America in the year 2019 is around 8.7 percent and the growth rate of the same year is 1.12 percent with per capita GDP for these years to be $65,280 whereas year after 2019 when COVID hit USA the </w:t>
      </w:r>
      <w:r w:rsidR="00061AB1">
        <w:rPr>
          <w:sz w:val="24"/>
        </w:rPr>
        <w:t>per capita GDP gradually fell to $63,533 which for a developed nation is quite a big downfall whereas the mortality rates for this year becomes 8.88 percent and the growth remains constant at 1.12 percent. Data at the hand shows us how U</w:t>
      </w:r>
      <w:r w:rsidR="00435410">
        <w:rPr>
          <w:sz w:val="24"/>
        </w:rPr>
        <w:t xml:space="preserve">nited </w:t>
      </w:r>
      <w:r w:rsidR="00061AB1">
        <w:rPr>
          <w:sz w:val="24"/>
        </w:rPr>
        <w:t>S</w:t>
      </w:r>
      <w:r w:rsidR="00435410">
        <w:rPr>
          <w:sz w:val="24"/>
        </w:rPr>
        <w:t xml:space="preserve">tates of </w:t>
      </w:r>
      <w:r w:rsidR="00061AB1">
        <w:rPr>
          <w:sz w:val="24"/>
        </w:rPr>
        <w:t>A</w:t>
      </w:r>
      <w:r w:rsidR="00435410">
        <w:rPr>
          <w:sz w:val="24"/>
        </w:rPr>
        <w:t>merica</w:t>
      </w:r>
      <w:r w:rsidR="00061AB1">
        <w:rPr>
          <w:sz w:val="24"/>
        </w:rPr>
        <w:t xml:space="preserve"> from the past one and a half decade has gradually paced up its growth rate but has seen a down fall due to pandemic. For years 2021 and 2022 the mortality rates have increased to 9.075 percent whereas gr</w:t>
      </w:r>
      <w:r w:rsidR="00594DC7">
        <w:rPr>
          <w:sz w:val="24"/>
        </w:rPr>
        <w:t xml:space="preserve">owth has fallen to 1.09 percent (macro trends). </w:t>
      </w:r>
    </w:p>
    <w:tbl>
      <w:tblPr>
        <w:tblW w:w="5340" w:type="dxa"/>
        <w:tblInd w:w="2016" w:type="dxa"/>
        <w:tblLook w:val="04A0" w:firstRow="1" w:lastRow="0" w:firstColumn="1" w:lastColumn="0" w:noHBand="0" w:noVBand="1"/>
      </w:tblPr>
      <w:tblGrid>
        <w:gridCol w:w="944"/>
        <w:gridCol w:w="2347"/>
        <w:gridCol w:w="2049"/>
      </w:tblGrid>
      <w:tr w:rsidR="003B244E" w:rsidRPr="003B244E" w:rsidTr="003B244E">
        <w:trPr>
          <w:trHeight w:val="420"/>
        </w:trPr>
        <w:tc>
          <w:tcPr>
            <w:tcW w:w="5340" w:type="dxa"/>
            <w:gridSpan w:val="3"/>
            <w:tcBorders>
              <w:top w:val="nil"/>
              <w:left w:val="nil"/>
              <w:bottom w:val="nil"/>
              <w:right w:val="nil"/>
            </w:tcBorders>
            <w:shd w:val="clear" w:color="auto" w:fill="auto"/>
            <w:noWrap/>
            <w:vAlign w:val="bottom"/>
            <w:hideMark/>
          </w:tcPr>
          <w:p w:rsidR="003B244E" w:rsidRPr="003B244E" w:rsidRDefault="003B244E" w:rsidP="003B244E">
            <w:pPr>
              <w:spacing w:after="0" w:line="240" w:lineRule="auto"/>
              <w:jc w:val="center"/>
              <w:rPr>
                <w:rFonts w:ascii="Calibri" w:eastAsia="Times New Roman" w:hAnsi="Calibri" w:cs="Calibri"/>
                <w:color w:val="000000"/>
                <w:sz w:val="32"/>
                <w:szCs w:val="32"/>
              </w:rPr>
            </w:pPr>
            <w:r w:rsidRPr="003B244E">
              <w:rPr>
                <w:rFonts w:ascii="Calibri" w:eastAsia="Times New Roman" w:hAnsi="Calibri" w:cs="Calibri"/>
                <w:color w:val="000000"/>
                <w:sz w:val="32"/>
                <w:szCs w:val="32"/>
              </w:rPr>
              <w:t>UNITED STATES OF AMERICA</w:t>
            </w:r>
          </w:p>
        </w:tc>
      </w:tr>
      <w:tr w:rsidR="003B244E" w:rsidRPr="003B244E" w:rsidTr="003B244E">
        <w:trPr>
          <w:trHeight w:val="312"/>
        </w:trPr>
        <w:tc>
          <w:tcPr>
            <w:tcW w:w="944" w:type="dxa"/>
            <w:tcBorders>
              <w:top w:val="single" w:sz="4" w:space="0" w:color="95B3D7"/>
              <w:left w:val="single" w:sz="4" w:space="0" w:color="95B3D7"/>
              <w:bottom w:val="single" w:sz="4" w:space="0" w:color="95B3D7"/>
              <w:right w:val="nil"/>
            </w:tcBorders>
            <w:shd w:val="clear" w:color="4F81BD" w:fill="4F81BD"/>
            <w:noWrap/>
            <w:vAlign w:val="bottom"/>
            <w:hideMark/>
          </w:tcPr>
          <w:p w:rsidR="003B244E" w:rsidRPr="003B244E" w:rsidRDefault="003B244E" w:rsidP="003B244E">
            <w:pPr>
              <w:spacing w:after="0" w:line="240" w:lineRule="auto"/>
              <w:rPr>
                <w:rFonts w:ascii="Calibri" w:eastAsia="Times New Roman" w:hAnsi="Calibri" w:cs="Calibri"/>
                <w:b/>
                <w:bCs/>
                <w:color w:val="FFFFFF"/>
                <w:sz w:val="24"/>
                <w:szCs w:val="24"/>
              </w:rPr>
            </w:pPr>
            <w:r w:rsidRPr="003B244E">
              <w:rPr>
                <w:rFonts w:ascii="Calibri" w:eastAsia="Times New Roman" w:hAnsi="Calibri" w:cs="Calibri"/>
                <w:b/>
                <w:bCs/>
                <w:color w:val="FFFFFF"/>
                <w:sz w:val="24"/>
                <w:szCs w:val="24"/>
              </w:rPr>
              <w:t>Years</w:t>
            </w:r>
          </w:p>
        </w:tc>
        <w:tc>
          <w:tcPr>
            <w:tcW w:w="2347" w:type="dxa"/>
            <w:tcBorders>
              <w:top w:val="single" w:sz="4" w:space="0" w:color="95B3D7"/>
              <w:left w:val="nil"/>
              <w:bottom w:val="single" w:sz="4" w:space="0" w:color="95B3D7"/>
              <w:right w:val="nil"/>
            </w:tcBorders>
            <w:shd w:val="clear" w:color="4F81BD" w:fill="4F81BD"/>
            <w:noWrap/>
            <w:vAlign w:val="bottom"/>
            <w:hideMark/>
          </w:tcPr>
          <w:p w:rsidR="003B244E" w:rsidRPr="003B244E" w:rsidRDefault="003B244E" w:rsidP="003B244E">
            <w:pPr>
              <w:spacing w:after="0" w:line="240" w:lineRule="auto"/>
              <w:rPr>
                <w:rFonts w:ascii="Calibri" w:eastAsia="Times New Roman" w:hAnsi="Calibri" w:cs="Calibri"/>
                <w:b/>
                <w:bCs/>
                <w:color w:val="FFFFFF"/>
                <w:sz w:val="24"/>
                <w:szCs w:val="24"/>
              </w:rPr>
            </w:pPr>
            <w:r w:rsidRPr="003B244E">
              <w:rPr>
                <w:rFonts w:ascii="Calibri" w:eastAsia="Times New Roman" w:hAnsi="Calibri" w:cs="Calibri"/>
                <w:b/>
                <w:bCs/>
                <w:color w:val="FFFFFF"/>
                <w:sz w:val="24"/>
                <w:szCs w:val="24"/>
              </w:rPr>
              <w:t>Mortality rate</w:t>
            </w:r>
          </w:p>
        </w:tc>
        <w:tc>
          <w:tcPr>
            <w:tcW w:w="2049" w:type="dxa"/>
            <w:tcBorders>
              <w:top w:val="single" w:sz="4" w:space="0" w:color="95B3D7"/>
              <w:left w:val="nil"/>
              <w:bottom w:val="single" w:sz="4" w:space="0" w:color="95B3D7"/>
              <w:right w:val="single" w:sz="4" w:space="0" w:color="95B3D7"/>
            </w:tcBorders>
            <w:shd w:val="clear" w:color="4F81BD" w:fill="4F81BD"/>
            <w:noWrap/>
            <w:vAlign w:val="bottom"/>
            <w:hideMark/>
          </w:tcPr>
          <w:p w:rsidR="003B244E" w:rsidRPr="003B244E" w:rsidRDefault="003B244E" w:rsidP="003B244E">
            <w:pPr>
              <w:spacing w:after="0" w:line="240" w:lineRule="auto"/>
              <w:rPr>
                <w:rFonts w:ascii="Calibri" w:eastAsia="Times New Roman" w:hAnsi="Calibri" w:cs="Calibri"/>
                <w:b/>
                <w:bCs/>
                <w:color w:val="FFFFFF"/>
                <w:sz w:val="24"/>
                <w:szCs w:val="24"/>
              </w:rPr>
            </w:pPr>
            <w:r w:rsidRPr="003B244E">
              <w:rPr>
                <w:rFonts w:ascii="Calibri" w:eastAsia="Times New Roman" w:hAnsi="Calibri" w:cs="Calibri"/>
                <w:b/>
                <w:bCs/>
                <w:color w:val="FFFFFF"/>
                <w:sz w:val="24"/>
                <w:szCs w:val="24"/>
              </w:rPr>
              <w:t>Growth rate</w:t>
            </w:r>
          </w:p>
        </w:tc>
      </w:tr>
      <w:tr w:rsidR="003B244E" w:rsidRPr="003B244E" w:rsidTr="00435410">
        <w:trPr>
          <w:trHeight w:val="288"/>
        </w:trPr>
        <w:tc>
          <w:tcPr>
            <w:tcW w:w="944" w:type="dxa"/>
            <w:tcBorders>
              <w:top w:val="single" w:sz="4" w:space="0" w:color="95B3D7"/>
              <w:left w:val="single" w:sz="4" w:space="0" w:color="95B3D7"/>
              <w:bottom w:val="single" w:sz="4" w:space="0" w:color="95B3D7"/>
              <w:right w:val="nil"/>
            </w:tcBorders>
            <w:shd w:val="clear" w:color="DCE6F1" w:fill="DCE6F1"/>
            <w:noWrap/>
            <w:vAlign w:val="bottom"/>
          </w:tcPr>
          <w:p w:rsidR="003B244E" w:rsidRPr="003B244E" w:rsidRDefault="003B244E" w:rsidP="003B244E">
            <w:pPr>
              <w:spacing w:after="0" w:line="240" w:lineRule="auto"/>
              <w:jc w:val="right"/>
              <w:rPr>
                <w:rFonts w:ascii="Calibri" w:eastAsia="Times New Roman" w:hAnsi="Calibri" w:cs="Calibri"/>
                <w:color w:val="000000"/>
              </w:rPr>
            </w:pPr>
          </w:p>
        </w:tc>
        <w:tc>
          <w:tcPr>
            <w:tcW w:w="2347" w:type="dxa"/>
            <w:tcBorders>
              <w:top w:val="single" w:sz="4" w:space="0" w:color="95B3D7"/>
              <w:left w:val="nil"/>
              <w:bottom w:val="single" w:sz="4" w:space="0" w:color="95B3D7"/>
              <w:right w:val="nil"/>
            </w:tcBorders>
            <w:shd w:val="clear" w:color="DCE6F1" w:fill="DCE6F1"/>
            <w:noWrap/>
            <w:vAlign w:val="bottom"/>
          </w:tcPr>
          <w:p w:rsidR="003B244E" w:rsidRPr="003B244E" w:rsidRDefault="003B244E" w:rsidP="003B244E">
            <w:pPr>
              <w:spacing w:after="0" w:line="240" w:lineRule="auto"/>
              <w:jc w:val="right"/>
              <w:rPr>
                <w:rFonts w:ascii="Calibri" w:eastAsia="Times New Roman" w:hAnsi="Calibri" w:cs="Calibri"/>
                <w:color w:val="000000"/>
              </w:rPr>
            </w:pPr>
          </w:p>
        </w:tc>
        <w:tc>
          <w:tcPr>
            <w:tcW w:w="2049" w:type="dxa"/>
            <w:tcBorders>
              <w:top w:val="single" w:sz="4" w:space="0" w:color="95B3D7"/>
              <w:left w:val="nil"/>
              <w:bottom w:val="single" w:sz="4" w:space="0" w:color="95B3D7"/>
              <w:right w:val="single" w:sz="4" w:space="0" w:color="95B3D7"/>
            </w:tcBorders>
            <w:shd w:val="clear" w:color="DCE6F1" w:fill="DCE6F1"/>
            <w:noWrap/>
            <w:vAlign w:val="bottom"/>
          </w:tcPr>
          <w:p w:rsidR="003B244E" w:rsidRPr="003B244E" w:rsidRDefault="003B244E" w:rsidP="003B244E">
            <w:pPr>
              <w:spacing w:after="0" w:line="240" w:lineRule="auto"/>
              <w:jc w:val="right"/>
              <w:rPr>
                <w:rFonts w:ascii="Calibri" w:eastAsia="Times New Roman" w:hAnsi="Calibri" w:cs="Calibri"/>
                <w:color w:val="000000"/>
              </w:rPr>
            </w:pPr>
          </w:p>
        </w:tc>
      </w:tr>
      <w:tr w:rsidR="003B244E" w:rsidRPr="003B244E" w:rsidTr="003B244E">
        <w:trPr>
          <w:trHeight w:val="288"/>
        </w:trPr>
        <w:tc>
          <w:tcPr>
            <w:tcW w:w="944" w:type="dxa"/>
            <w:tcBorders>
              <w:top w:val="single" w:sz="4" w:space="0" w:color="95B3D7"/>
              <w:left w:val="single" w:sz="4" w:space="0" w:color="95B3D7"/>
              <w:bottom w:val="single" w:sz="4" w:space="0" w:color="95B3D7"/>
              <w:right w:val="nil"/>
            </w:tcBorders>
            <w:shd w:val="clear" w:color="auto" w:fill="auto"/>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2021</w:t>
            </w:r>
          </w:p>
        </w:tc>
        <w:tc>
          <w:tcPr>
            <w:tcW w:w="2347" w:type="dxa"/>
            <w:tcBorders>
              <w:top w:val="single" w:sz="4" w:space="0" w:color="95B3D7"/>
              <w:left w:val="nil"/>
              <w:bottom w:val="single" w:sz="4" w:space="0" w:color="95B3D7"/>
              <w:right w:val="nil"/>
            </w:tcBorders>
            <w:shd w:val="clear" w:color="auto" w:fill="auto"/>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8.97</w:t>
            </w:r>
          </w:p>
        </w:tc>
        <w:tc>
          <w:tcPr>
            <w:tcW w:w="2049" w:type="dxa"/>
            <w:tcBorders>
              <w:top w:val="single" w:sz="4" w:space="0" w:color="95B3D7"/>
              <w:left w:val="nil"/>
              <w:bottom w:val="single" w:sz="4" w:space="0" w:color="95B3D7"/>
              <w:right w:val="single" w:sz="4" w:space="0" w:color="95B3D7"/>
            </w:tcBorders>
            <w:shd w:val="clear" w:color="auto" w:fill="auto"/>
            <w:noWrap/>
            <w:vAlign w:val="bottom"/>
            <w:hideMark/>
          </w:tcPr>
          <w:p w:rsidR="003B244E" w:rsidRPr="003B244E" w:rsidRDefault="00435410" w:rsidP="003B244E">
            <w:pPr>
              <w:spacing w:after="0" w:line="240" w:lineRule="auto"/>
              <w:jc w:val="right"/>
              <w:rPr>
                <w:rFonts w:ascii="Calibri" w:eastAsia="Times New Roman" w:hAnsi="Calibri" w:cs="Calibri"/>
                <w:color w:val="000000"/>
              </w:rPr>
            </w:pPr>
            <w:r>
              <w:rPr>
                <w:rFonts w:ascii="Calibri" w:eastAsia="Times New Roman" w:hAnsi="Calibri" w:cs="Calibri"/>
                <w:color w:val="000000"/>
              </w:rPr>
              <w:t>5.59</w:t>
            </w:r>
          </w:p>
        </w:tc>
      </w:tr>
      <w:tr w:rsidR="003B244E" w:rsidRPr="003B244E" w:rsidTr="003B244E">
        <w:trPr>
          <w:trHeight w:val="288"/>
        </w:trPr>
        <w:tc>
          <w:tcPr>
            <w:tcW w:w="944" w:type="dxa"/>
            <w:tcBorders>
              <w:top w:val="single" w:sz="4" w:space="0" w:color="95B3D7"/>
              <w:left w:val="single" w:sz="4" w:space="0" w:color="95B3D7"/>
              <w:bottom w:val="single" w:sz="4" w:space="0" w:color="95B3D7"/>
              <w:right w:val="nil"/>
            </w:tcBorders>
            <w:shd w:val="clear" w:color="DCE6F1" w:fill="DCE6F1"/>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2020</w:t>
            </w:r>
          </w:p>
        </w:tc>
        <w:tc>
          <w:tcPr>
            <w:tcW w:w="2347" w:type="dxa"/>
            <w:tcBorders>
              <w:top w:val="single" w:sz="4" w:space="0" w:color="95B3D7"/>
              <w:left w:val="nil"/>
              <w:bottom w:val="single" w:sz="4" w:space="0" w:color="95B3D7"/>
              <w:right w:val="nil"/>
            </w:tcBorders>
            <w:shd w:val="clear" w:color="DCE6F1" w:fill="DCE6F1"/>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8.88</w:t>
            </w:r>
          </w:p>
        </w:tc>
        <w:tc>
          <w:tcPr>
            <w:tcW w:w="2049" w:type="dxa"/>
            <w:tcBorders>
              <w:top w:val="single" w:sz="4" w:space="0" w:color="95B3D7"/>
              <w:left w:val="nil"/>
              <w:bottom w:val="single" w:sz="4" w:space="0" w:color="95B3D7"/>
              <w:right w:val="single" w:sz="4" w:space="0" w:color="95B3D7"/>
            </w:tcBorders>
            <w:shd w:val="clear" w:color="DCE6F1" w:fill="DCE6F1"/>
            <w:noWrap/>
            <w:vAlign w:val="bottom"/>
            <w:hideMark/>
          </w:tcPr>
          <w:p w:rsidR="003B244E" w:rsidRPr="003B244E" w:rsidRDefault="00435410" w:rsidP="003B244E">
            <w:pPr>
              <w:spacing w:after="0" w:line="240" w:lineRule="auto"/>
              <w:jc w:val="right"/>
              <w:rPr>
                <w:rFonts w:ascii="Calibri" w:eastAsia="Times New Roman" w:hAnsi="Calibri" w:cs="Calibri"/>
                <w:color w:val="000000"/>
              </w:rPr>
            </w:pPr>
            <w:r>
              <w:rPr>
                <w:rFonts w:ascii="Calibri" w:eastAsia="Times New Roman" w:hAnsi="Calibri" w:cs="Calibri"/>
                <w:color w:val="000000"/>
              </w:rPr>
              <w:t>-3.41</w:t>
            </w:r>
          </w:p>
        </w:tc>
      </w:tr>
      <w:tr w:rsidR="003B244E" w:rsidRPr="003B244E" w:rsidTr="003B244E">
        <w:trPr>
          <w:trHeight w:val="288"/>
        </w:trPr>
        <w:tc>
          <w:tcPr>
            <w:tcW w:w="944" w:type="dxa"/>
            <w:tcBorders>
              <w:top w:val="single" w:sz="4" w:space="0" w:color="95B3D7"/>
              <w:left w:val="single" w:sz="4" w:space="0" w:color="95B3D7"/>
              <w:bottom w:val="single" w:sz="4" w:space="0" w:color="95B3D7"/>
              <w:right w:val="nil"/>
            </w:tcBorders>
            <w:shd w:val="clear" w:color="auto" w:fill="auto"/>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2019</w:t>
            </w:r>
          </w:p>
        </w:tc>
        <w:tc>
          <w:tcPr>
            <w:tcW w:w="2347" w:type="dxa"/>
            <w:tcBorders>
              <w:top w:val="single" w:sz="4" w:space="0" w:color="95B3D7"/>
              <w:left w:val="nil"/>
              <w:bottom w:val="single" w:sz="4" w:space="0" w:color="95B3D7"/>
              <w:right w:val="nil"/>
            </w:tcBorders>
            <w:shd w:val="clear" w:color="auto" w:fill="auto"/>
            <w:noWrap/>
            <w:vAlign w:val="bottom"/>
            <w:hideMark/>
          </w:tcPr>
          <w:p w:rsidR="003B244E" w:rsidRPr="003B244E" w:rsidRDefault="003B244E" w:rsidP="003B244E">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8.78</w:t>
            </w:r>
          </w:p>
        </w:tc>
        <w:tc>
          <w:tcPr>
            <w:tcW w:w="2049" w:type="dxa"/>
            <w:tcBorders>
              <w:top w:val="single" w:sz="4" w:space="0" w:color="95B3D7"/>
              <w:left w:val="nil"/>
              <w:bottom w:val="single" w:sz="4" w:space="0" w:color="95B3D7"/>
              <w:right w:val="single" w:sz="4" w:space="0" w:color="95B3D7"/>
            </w:tcBorders>
            <w:shd w:val="clear" w:color="auto" w:fill="auto"/>
            <w:noWrap/>
            <w:vAlign w:val="bottom"/>
            <w:hideMark/>
          </w:tcPr>
          <w:p w:rsidR="003B244E" w:rsidRPr="003B244E" w:rsidRDefault="00435410" w:rsidP="003B244E">
            <w:pPr>
              <w:spacing w:after="0" w:line="240" w:lineRule="auto"/>
              <w:jc w:val="right"/>
              <w:rPr>
                <w:rFonts w:ascii="Calibri" w:eastAsia="Times New Roman" w:hAnsi="Calibri" w:cs="Calibri"/>
                <w:color w:val="000000"/>
              </w:rPr>
            </w:pPr>
            <w:r>
              <w:rPr>
                <w:rFonts w:ascii="Calibri" w:eastAsia="Times New Roman" w:hAnsi="Calibri" w:cs="Calibri"/>
                <w:color w:val="000000"/>
              </w:rPr>
              <w:t>2.29</w:t>
            </w:r>
          </w:p>
        </w:tc>
      </w:tr>
    </w:tbl>
    <w:p w:rsidR="003B244E" w:rsidRDefault="003B244E" w:rsidP="00B11E14">
      <w:pPr>
        <w:rPr>
          <w:sz w:val="24"/>
        </w:rPr>
      </w:pPr>
    </w:p>
    <w:p w:rsidR="00751C54" w:rsidRDefault="00435410" w:rsidP="00B11E14">
      <w:pPr>
        <w:rPr>
          <w:sz w:val="24"/>
        </w:rPr>
      </w:pPr>
      <w:r>
        <w:rPr>
          <w:noProof/>
        </w:rPr>
        <w:lastRenderedPageBreak/>
        <w:drawing>
          <wp:inline distT="0" distB="0" distL="0" distR="0" wp14:anchorId="55503F73" wp14:editId="26B7A274">
            <wp:extent cx="63246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E5A9D" w:rsidRDefault="004E5A9D" w:rsidP="00B11E14">
      <w:pPr>
        <w:rPr>
          <w:sz w:val="24"/>
        </w:rPr>
      </w:pPr>
      <w:r>
        <w:rPr>
          <w:sz w:val="24"/>
        </w:rPr>
        <w:t xml:space="preserve">Total casualties during pandemic that USA had to face are 946686. </w:t>
      </w:r>
      <w:r w:rsidR="00435410">
        <w:rPr>
          <w:sz w:val="24"/>
        </w:rPr>
        <w:t>Fallen in the growth rate of United States of America</w:t>
      </w:r>
      <w:r>
        <w:rPr>
          <w:sz w:val="24"/>
        </w:rPr>
        <w:t xml:space="preserve"> is clearly the reason of lack of man power and fallen productivity if we look through the point of view of mortalities. </w:t>
      </w:r>
    </w:p>
    <w:p w:rsidR="00662122" w:rsidRDefault="004E5A9D" w:rsidP="00662122">
      <w:pPr>
        <w:rPr>
          <w:rFonts w:ascii="Calibri" w:hAnsi="Calibri" w:cs="Calibri"/>
          <w:color w:val="141414"/>
          <w:sz w:val="24"/>
          <w:szCs w:val="27"/>
        </w:rPr>
      </w:pPr>
      <w:r>
        <w:rPr>
          <w:sz w:val="24"/>
        </w:rPr>
        <w:t>Poverty in USA had clearly increased due to obvious reasons and consequences of pandemic. A majority of people who are a daily wage labor or even some monthly salaried employees had lost their jobs and earning due to extensive and long lockdowns that country had to go through in order to protect their population. Loss of income due to these lockdowns pushed many below poverty line</w:t>
      </w:r>
      <w:r w:rsidR="00594DC7">
        <w:rPr>
          <w:sz w:val="24"/>
        </w:rPr>
        <w:t xml:space="preserve"> </w:t>
      </w:r>
      <w:r w:rsidR="00A86CCA">
        <w:rPr>
          <w:sz w:val="24"/>
        </w:rPr>
        <w:t>(</w:t>
      </w:r>
      <w:r>
        <w:rPr>
          <w:sz w:val="24"/>
        </w:rPr>
        <w:t>world economic forum)</w:t>
      </w:r>
      <w:r w:rsidR="00A86CCA">
        <w:rPr>
          <w:sz w:val="24"/>
        </w:rPr>
        <w:t xml:space="preserve">. </w:t>
      </w:r>
      <w:r w:rsidR="00A86CCA" w:rsidRPr="00A86CCA">
        <w:rPr>
          <w:rFonts w:ascii="Calibri" w:hAnsi="Calibri" w:cs="Calibri"/>
          <w:color w:val="141414"/>
          <w:sz w:val="24"/>
          <w:szCs w:val="27"/>
        </w:rPr>
        <w:t>Poverty in the U.S. increased in 2020 as the coronavirus pandemic hammered the economy and unemployment soared. Those at the bottom of the economic ladder were hit hardest, new figures confirm, suggesting that the recession may have widened the gap between the rich and the poor.</w:t>
      </w:r>
      <w:r w:rsidR="00A86CCA">
        <w:rPr>
          <w:rFonts w:ascii="Calibri" w:hAnsi="Calibri" w:cs="Calibri"/>
          <w:color w:val="141414"/>
          <w:sz w:val="24"/>
          <w:szCs w:val="27"/>
        </w:rPr>
        <w:t xml:space="preserve"> Not just poverty has risen due this pandemic driven recession but even inequality has also increased. Paper by </w:t>
      </w:r>
      <w:r w:rsidR="00A86CCA" w:rsidRPr="00A86CCA">
        <w:rPr>
          <w:rFonts w:ascii="Calibri" w:hAnsi="Calibri" w:cs="Calibri"/>
          <w:color w:val="141414"/>
          <w:sz w:val="24"/>
          <w:szCs w:val="27"/>
        </w:rPr>
        <w:t>François Bourguignon</w:t>
      </w:r>
      <w:r w:rsidR="00A86CCA">
        <w:rPr>
          <w:rFonts w:ascii="Calibri" w:hAnsi="Calibri" w:cs="Calibri"/>
          <w:color w:val="141414"/>
          <w:sz w:val="24"/>
          <w:szCs w:val="27"/>
        </w:rPr>
        <w:t xml:space="preserve"> has shown us how poverty and inequality both have their significant roles while achieving growth and how a relation between poverty and inequality is vital. Around </w:t>
      </w:r>
      <w:r w:rsidR="00A336D3">
        <w:rPr>
          <w:rFonts w:ascii="Calibri" w:hAnsi="Calibri" w:cs="Calibri"/>
          <w:color w:val="141414"/>
          <w:sz w:val="24"/>
          <w:szCs w:val="27"/>
        </w:rPr>
        <w:t>11.4 perce</w:t>
      </w:r>
      <w:r w:rsidR="00A86CCA">
        <w:rPr>
          <w:rFonts w:ascii="Calibri" w:hAnsi="Calibri" w:cs="Calibri"/>
          <w:color w:val="141414"/>
          <w:sz w:val="24"/>
          <w:szCs w:val="27"/>
        </w:rPr>
        <w:t xml:space="preserve">nt that is around 37.2 million people were below poverty line in 2020 which rate was </w:t>
      </w:r>
      <w:r w:rsidR="00A336D3">
        <w:rPr>
          <w:rFonts w:ascii="Calibri" w:hAnsi="Calibri" w:cs="Calibri"/>
          <w:color w:val="141414"/>
          <w:sz w:val="24"/>
          <w:szCs w:val="27"/>
        </w:rPr>
        <w:t>10.5 percent in 2019.</w:t>
      </w:r>
    </w:p>
    <w:tbl>
      <w:tblPr>
        <w:tblW w:w="5340" w:type="dxa"/>
        <w:tblInd w:w="2448" w:type="dxa"/>
        <w:tblLook w:val="04A0" w:firstRow="1" w:lastRow="0" w:firstColumn="1" w:lastColumn="0" w:noHBand="0" w:noVBand="1"/>
      </w:tblPr>
      <w:tblGrid>
        <w:gridCol w:w="994"/>
        <w:gridCol w:w="2186"/>
        <w:gridCol w:w="2160"/>
      </w:tblGrid>
      <w:tr w:rsidR="00A80686" w:rsidRPr="00A80686" w:rsidTr="003B244E">
        <w:trPr>
          <w:trHeight w:val="420"/>
        </w:trPr>
        <w:tc>
          <w:tcPr>
            <w:tcW w:w="5340" w:type="dxa"/>
            <w:gridSpan w:val="3"/>
            <w:tcBorders>
              <w:top w:val="nil"/>
              <w:left w:val="nil"/>
              <w:bottom w:val="nil"/>
              <w:right w:val="nil"/>
            </w:tcBorders>
            <w:shd w:val="clear" w:color="auto" w:fill="auto"/>
            <w:noWrap/>
            <w:vAlign w:val="bottom"/>
            <w:hideMark/>
          </w:tcPr>
          <w:p w:rsidR="00A80686" w:rsidRPr="00A80686" w:rsidRDefault="00A80686" w:rsidP="00A80686">
            <w:pPr>
              <w:spacing w:after="0" w:line="240" w:lineRule="auto"/>
              <w:jc w:val="center"/>
              <w:rPr>
                <w:rFonts w:ascii="Calibri" w:eastAsia="Times New Roman" w:hAnsi="Calibri" w:cs="Calibri"/>
                <w:color w:val="000000"/>
                <w:sz w:val="32"/>
                <w:szCs w:val="32"/>
              </w:rPr>
            </w:pPr>
            <w:r w:rsidRPr="00A80686">
              <w:rPr>
                <w:rFonts w:ascii="Calibri" w:eastAsia="Times New Roman" w:hAnsi="Calibri" w:cs="Calibri"/>
                <w:color w:val="000000"/>
                <w:sz w:val="32"/>
                <w:szCs w:val="32"/>
              </w:rPr>
              <w:t>UNITED STATES OF AMERICA</w:t>
            </w:r>
          </w:p>
        </w:tc>
      </w:tr>
      <w:tr w:rsidR="00A80686" w:rsidRPr="00A80686" w:rsidTr="003B244E">
        <w:trPr>
          <w:trHeight w:val="312"/>
        </w:trPr>
        <w:tc>
          <w:tcPr>
            <w:tcW w:w="994" w:type="dxa"/>
            <w:tcBorders>
              <w:top w:val="single" w:sz="4" w:space="0" w:color="95B3D7"/>
              <w:left w:val="single" w:sz="4" w:space="0" w:color="95B3D7"/>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Years</w:t>
            </w:r>
          </w:p>
        </w:tc>
        <w:tc>
          <w:tcPr>
            <w:tcW w:w="2186" w:type="dxa"/>
            <w:tcBorders>
              <w:top w:val="single" w:sz="4" w:space="0" w:color="95B3D7"/>
              <w:left w:val="nil"/>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Poverty rate</w:t>
            </w:r>
          </w:p>
        </w:tc>
        <w:tc>
          <w:tcPr>
            <w:tcW w:w="2160" w:type="dxa"/>
            <w:tcBorders>
              <w:top w:val="single" w:sz="4" w:space="0" w:color="95B3D7"/>
              <w:left w:val="nil"/>
              <w:bottom w:val="single" w:sz="4" w:space="0" w:color="95B3D7"/>
              <w:right w:val="single" w:sz="4" w:space="0" w:color="95B3D7"/>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Growth rate</w:t>
            </w:r>
          </w:p>
        </w:tc>
      </w:tr>
      <w:tr w:rsidR="00430EC4" w:rsidRPr="00A80686" w:rsidTr="003B244E">
        <w:trPr>
          <w:trHeight w:val="288"/>
        </w:trPr>
        <w:tc>
          <w:tcPr>
            <w:tcW w:w="994" w:type="dxa"/>
            <w:tcBorders>
              <w:top w:val="single" w:sz="4" w:space="0" w:color="95B3D7"/>
              <w:left w:val="single" w:sz="4" w:space="0" w:color="95B3D7"/>
              <w:bottom w:val="single" w:sz="4" w:space="0" w:color="95B3D7"/>
              <w:right w:val="nil"/>
            </w:tcBorders>
            <w:shd w:val="clear" w:color="DCE6F1" w:fill="DCE6F1"/>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2021</w:t>
            </w:r>
          </w:p>
        </w:tc>
        <w:tc>
          <w:tcPr>
            <w:tcW w:w="2186" w:type="dxa"/>
            <w:tcBorders>
              <w:top w:val="single" w:sz="4" w:space="0" w:color="95B3D7"/>
              <w:left w:val="nil"/>
              <w:bottom w:val="single" w:sz="4" w:space="0" w:color="95B3D7"/>
              <w:right w:val="nil"/>
            </w:tcBorders>
            <w:shd w:val="clear" w:color="DCE6F1" w:fill="DCE6F1"/>
            <w:noWrap/>
            <w:vAlign w:val="bottom"/>
            <w:hideMark/>
          </w:tcPr>
          <w:p w:rsidR="00430EC4" w:rsidRPr="00A80686" w:rsidRDefault="00430EC4"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11.5</w:t>
            </w:r>
          </w:p>
        </w:tc>
        <w:tc>
          <w:tcPr>
            <w:tcW w:w="2160" w:type="dxa"/>
            <w:tcBorders>
              <w:top w:val="single" w:sz="4" w:space="0" w:color="95B3D7"/>
              <w:left w:val="nil"/>
              <w:bottom w:val="single" w:sz="4" w:space="0" w:color="95B3D7"/>
              <w:right w:val="single" w:sz="4" w:space="0" w:color="95B3D7"/>
            </w:tcBorders>
            <w:shd w:val="clear" w:color="DCE6F1" w:fill="DCE6F1"/>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Pr>
                <w:rFonts w:ascii="Calibri" w:eastAsia="Times New Roman" w:hAnsi="Calibri" w:cs="Calibri"/>
                <w:color w:val="000000"/>
              </w:rPr>
              <w:t>5.59</w:t>
            </w:r>
          </w:p>
        </w:tc>
      </w:tr>
      <w:tr w:rsidR="00430EC4" w:rsidRPr="00A80686" w:rsidTr="003B244E">
        <w:trPr>
          <w:trHeight w:val="288"/>
        </w:trPr>
        <w:tc>
          <w:tcPr>
            <w:tcW w:w="994" w:type="dxa"/>
            <w:tcBorders>
              <w:top w:val="single" w:sz="4" w:space="0" w:color="95B3D7"/>
              <w:left w:val="single" w:sz="4" w:space="0" w:color="95B3D7"/>
              <w:bottom w:val="single" w:sz="4" w:space="0" w:color="95B3D7"/>
              <w:right w:val="nil"/>
            </w:tcBorders>
            <w:shd w:val="clear" w:color="auto" w:fill="auto"/>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2020</w:t>
            </w:r>
          </w:p>
        </w:tc>
        <w:tc>
          <w:tcPr>
            <w:tcW w:w="2186" w:type="dxa"/>
            <w:tcBorders>
              <w:top w:val="single" w:sz="4" w:space="0" w:color="95B3D7"/>
              <w:left w:val="nil"/>
              <w:bottom w:val="single" w:sz="4" w:space="0" w:color="95B3D7"/>
              <w:right w:val="nil"/>
            </w:tcBorders>
            <w:shd w:val="clear" w:color="auto" w:fill="auto"/>
            <w:noWrap/>
            <w:vAlign w:val="bottom"/>
            <w:hideMark/>
          </w:tcPr>
          <w:p w:rsidR="00430EC4" w:rsidRPr="00A80686" w:rsidRDefault="00430EC4"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11.4</w:t>
            </w:r>
          </w:p>
        </w:tc>
        <w:tc>
          <w:tcPr>
            <w:tcW w:w="2160" w:type="dxa"/>
            <w:tcBorders>
              <w:top w:val="single" w:sz="4" w:space="0" w:color="95B3D7"/>
              <w:left w:val="nil"/>
              <w:bottom w:val="single" w:sz="4" w:space="0" w:color="95B3D7"/>
              <w:right w:val="single" w:sz="4" w:space="0" w:color="95B3D7"/>
            </w:tcBorders>
            <w:shd w:val="clear" w:color="auto" w:fill="auto"/>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Pr>
                <w:rFonts w:ascii="Calibri" w:eastAsia="Times New Roman" w:hAnsi="Calibri" w:cs="Calibri"/>
                <w:color w:val="000000"/>
              </w:rPr>
              <w:t>-3.41</w:t>
            </w:r>
          </w:p>
        </w:tc>
      </w:tr>
      <w:tr w:rsidR="00430EC4" w:rsidRPr="00A80686" w:rsidTr="003B244E">
        <w:trPr>
          <w:trHeight w:val="288"/>
        </w:trPr>
        <w:tc>
          <w:tcPr>
            <w:tcW w:w="994" w:type="dxa"/>
            <w:tcBorders>
              <w:top w:val="single" w:sz="4" w:space="0" w:color="95B3D7"/>
              <w:left w:val="single" w:sz="4" w:space="0" w:color="95B3D7"/>
              <w:bottom w:val="single" w:sz="4" w:space="0" w:color="95B3D7"/>
              <w:right w:val="nil"/>
            </w:tcBorders>
            <w:shd w:val="clear" w:color="DCE6F1" w:fill="DCE6F1"/>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sidRPr="003B244E">
              <w:rPr>
                <w:rFonts w:ascii="Calibri" w:eastAsia="Times New Roman" w:hAnsi="Calibri" w:cs="Calibri"/>
                <w:color w:val="000000"/>
              </w:rPr>
              <w:t>2019</w:t>
            </w:r>
          </w:p>
        </w:tc>
        <w:tc>
          <w:tcPr>
            <w:tcW w:w="2186" w:type="dxa"/>
            <w:tcBorders>
              <w:top w:val="single" w:sz="4" w:space="0" w:color="95B3D7"/>
              <w:left w:val="nil"/>
              <w:bottom w:val="single" w:sz="4" w:space="0" w:color="95B3D7"/>
              <w:right w:val="nil"/>
            </w:tcBorders>
            <w:shd w:val="clear" w:color="DCE6F1" w:fill="DCE6F1"/>
            <w:noWrap/>
            <w:vAlign w:val="bottom"/>
            <w:hideMark/>
          </w:tcPr>
          <w:p w:rsidR="00430EC4" w:rsidRPr="00A80686" w:rsidRDefault="00430EC4"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10.5</w:t>
            </w:r>
          </w:p>
        </w:tc>
        <w:tc>
          <w:tcPr>
            <w:tcW w:w="2160" w:type="dxa"/>
            <w:tcBorders>
              <w:top w:val="single" w:sz="4" w:space="0" w:color="95B3D7"/>
              <w:left w:val="nil"/>
              <w:bottom w:val="single" w:sz="4" w:space="0" w:color="95B3D7"/>
              <w:right w:val="single" w:sz="4" w:space="0" w:color="95B3D7"/>
            </w:tcBorders>
            <w:shd w:val="clear" w:color="DCE6F1" w:fill="DCE6F1"/>
            <w:noWrap/>
            <w:vAlign w:val="bottom"/>
            <w:hideMark/>
          </w:tcPr>
          <w:p w:rsidR="00430EC4" w:rsidRPr="003B244E" w:rsidRDefault="00430EC4" w:rsidP="004316B5">
            <w:pPr>
              <w:spacing w:after="0" w:line="240" w:lineRule="auto"/>
              <w:jc w:val="right"/>
              <w:rPr>
                <w:rFonts w:ascii="Calibri" w:eastAsia="Times New Roman" w:hAnsi="Calibri" w:cs="Calibri"/>
                <w:color w:val="000000"/>
              </w:rPr>
            </w:pPr>
            <w:r>
              <w:rPr>
                <w:rFonts w:ascii="Calibri" w:eastAsia="Times New Roman" w:hAnsi="Calibri" w:cs="Calibri"/>
                <w:color w:val="000000"/>
              </w:rPr>
              <w:t>2.29</w:t>
            </w:r>
          </w:p>
        </w:tc>
      </w:tr>
    </w:tbl>
    <w:p w:rsidR="00A80686" w:rsidRDefault="00A80686" w:rsidP="00662122">
      <w:pPr>
        <w:rPr>
          <w:rFonts w:ascii="Calibri" w:hAnsi="Calibri" w:cs="Calibri"/>
          <w:color w:val="141414"/>
          <w:sz w:val="24"/>
          <w:szCs w:val="27"/>
        </w:rPr>
      </w:pPr>
    </w:p>
    <w:p w:rsidR="008A3AAC" w:rsidRDefault="00430EC4" w:rsidP="00662122">
      <w:pPr>
        <w:rPr>
          <w:rFonts w:ascii="Calibri" w:hAnsi="Calibri" w:cs="Calibri"/>
          <w:color w:val="141414"/>
          <w:sz w:val="24"/>
          <w:szCs w:val="27"/>
        </w:rPr>
      </w:pPr>
      <w:r>
        <w:rPr>
          <w:noProof/>
        </w:rPr>
        <w:lastRenderedPageBreak/>
        <w:drawing>
          <wp:inline distT="0" distB="0" distL="0" distR="0" wp14:anchorId="533C6877" wp14:editId="0D8A490B">
            <wp:extent cx="6355080" cy="2743200"/>
            <wp:effectExtent l="0" t="0" r="2667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579A" w:rsidRDefault="0062579A" w:rsidP="00662122">
      <w:pPr>
        <w:rPr>
          <w:sz w:val="24"/>
        </w:rPr>
      </w:pPr>
    </w:p>
    <w:p w:rsidR="0062579A" w:rsidRDefault="0062579A" w:rsidP="00662122">
      <w:pPr>
        <w:rPr>
          <w:sz w:val="24"/>
        </w:rPr>
      </w:pPr>
    </w:p>
    <w:p w:rsidR="0062579A" w:rsidRPr="0062579A" w:rsidRDefault="0062579A" w:rsidP="0062579A">
      <w:pPr>
        <w:pStyle w:val="Heading3"/>
        <w:rPr>
          <w:sz w:val="32"/>
        </w:rPr>
      </w:pPr>
      <w:r>
        <w:rPr>
          <w:sz w:val="32"/>
        </w:rPr>
        <w:t>ENGLAND</w:t>
      </w:r>
    </w:p>
    <w:p w:rsidR="00A336D3" w:rsidRDefault="0001296A" w:rsidP="00662122">
      <w:pPr>
        <w:rPr>
          <w:rFonts w:ascii="Calibri" w:hAnsi="Calibri" w:cs="Calibri"/>
          <w:color w:val="141414"/>
          <w:sz w:val="24"/>
          <w:szCs w:val="27"/>
        </w:rPr>
      </w:pPr>
      <w:r>
        <w:rPr>
          <w:rFonts w:ascii="Calibri" w:hAnsi="Calibri" w:cs="Calibri"/>
          <w:color w:val="141414"/>
          <w:sz w:val="24"/>
          <w:szCs w:val="27"/>
        </w:rPr>
        <w:t xml:space="preserve">Next in our list is England. We will use the same approach as before which we used while analyzing </w:t>
      </w:r>
      <w:proofErr w:type="spellStart"/>
      <w:proofErr w:type="gramStart"/>
      <w:r>
        <w:rPr>
          <w:rFonts w:ascii="Calibri" w:hAnsi="Calibri" w:cs="Calibri"/>
          <w:color w:val="141414"/>
          <w:sz w:val="24"/>
          <w:szCs w:val="27"/>
        </w:rPr>
        <w:t>usa</w:t>
      </w:r>
      <w:proofErr w:type="spellEnd"/>
      <w:proofErr w:type="gramEnd"/>
      <w:r>
        <w:rPr>
          <w:rFonts w:ascii="Calibri" w:hAnsi="Calibri" w:cs="Calibri"/>
          <w:color w:val="141414"/>
          <w:sz w:val="24"/>
          <w:szCs w:val="27"/>
        </w:rPr>
        <w:t xml:space="preserve"> and will try to derive results. The growth rate of GDP in England was 1.25 in 2018 which rose to 1.37 in 2019 but gradually fell in 2020 to -9.79 percent for obvious effects of COVID: 19. Mortality rate in year 2019 for UK was 9.1 percent which rose to 10.3 percent. This greater increase in the magnitude of death rates is one of the effects after pandemic and this is the result why GDP fell so vastly. If we now look at the GDP per capita of </w:t>
      </w:r>
      <w:proofErr w:type="spellStart"/>
      <w:proofErr w:type="gramStart"/>
      <w:r>
        <w:rPr>
          <w:rFonts w:ascii="Calibri" w:hAnsi="Calibri" w:cs="Calibri"/>
          <w:color w:val="141414"/>
          <w:sz w:val="24"/>
          <w:szCs w:val="27"/>
        </w:rPr>
        <w:t>uk</w:t>
      </w:r>
      <w:proofErr w:type="spellEnd"/>
      <w:proofErr w:type="gramEnd"/>
      <w:r>
        <w:rPr>
          <w:rFonts w:ascii="Calibri" w:hAnsi="Calibri" w:cs="Calibri"/>
          <w:color w:val="141414"/>
          <w:sz w:val="24"/>
          <w:szCs w:val="27"/>
        </w:rPr>
        <w:t xml:space="preserve"> for the years 2018-20 </w:t>
      </w:r>
      <w:r w:rsidR="008A3AAC">
        <w:rPr>
          <w:rFonts w:ascii="Calibri" w:hAnsi="Calibri" w:cs="Calibri"/>
          <w:color w:val="141414"/>
          <w:sz w:val="24"/>
          <w:szCs w:val="27"/>
        </w:rPr>
        <w:t>the country had $42,996 GDP per capita in 2018 and $42,354</w:t>
      </w:r>
      <w:r>
        <w:rPr>
          <w:rFonts w:ascii="Calibri" w:hAnsi="Calibri" w:cs="Calibri"/>
          <w:color w:val="141414"/>
          <w:sz w:val="24"/>
          <w:szCs w:val="27"/>
        </w:rPr>
        <w:t xml:space="preserve"> </w:t>
      </w:r>
      <w:r w:rsidR="008A3AAC">
        <w:rPr>
          <w:rFonts w:ascii="Calibri" w:hAnsi="Calibri" w:cs="Calibri"/>
          <w:color w:val="141414"/>
          <w:sz w:val="24"/>
          <w:szCs w:val="27"/>
        </w:rPr>
        <w:t>in 2019 but GDP per capital fell by 4.89 percent in 2020 from 2019 and made it to $40,285. There were 607,992 deaths in 2020 in England but were 530,841 in 2019. A big proportion of deaths were witnessed due to pandemic in 2020 in England.</w:t>
      </w:r>
      <w:r w:rsidR="00F94C35">
        <w:rPr>
          <w:rFonts w:ascii="Calibri" w:hAnsi="Calibri" w:cs="Calibri"/>
          <w:color w:val="141414"/>
          <w:sz w:val="24"/>
          <w:szCs w:val="27"/>
        </w:rPr>
        <w:t xml:space="preserve"> Deaths due to COVID in England were 140,392.</w:t>
      </w:r>
    </w:p>
    <w:tbl>
      <w:tblPr>
        <w:tblW w:w="4164" w:type="dxa"/>
        <w:tblInd w:w="2604" w:type="dxa"/>
        <w:tblLook w:val="04A0" w:firstRow="1" w:lastRow="0" w:firstColumn="1" w:lastColumn="0" w:noHBand="0" w:noVBand="1"/>
      </w:tblPr>
      <w:tblGrid>
        <w:gridCol w:w="716"/>
        <w:gridCol w:w="1833"/>
        <w:gridCol w:w="1615"/>
      </w:tblGrid>
      <w:tr w:rsidR="00A80686" w:rsidRPr="00A80686" w:rsidTr="00A80686">
        <w:trPr>
          <w:trHeight w:val="420"/>
        </w:trPr>
        <w:tc>
          <w:tcPr>
            <w:tcW w:w="4164" w:type="dxa"/>
            <w:gridSpan w:val="3"/>
            <w:tcBorders>
              <w:top w:val="nil"/>
              <w:left w:val="nil"/>
              <w:bottom w:val="nil"/>
              <w:right w:val="nil"/>
            </w:tcBorders>
            <w:shd w:val="clear" w:color="auto" w:fill="auto"/>
            <w:noWrap/>
            <w:vAlign w:val="bottom"/>
            <w:hideMark/>
          </w:tcPr>
          <w:p w:rsidR="00A80686" w:rsidRPr="00A80686" w:rsidRDefault="00A80686" w:rsidP="00A80686">
            <w:pPr>
              <w:spacing w:after="0" w:line="240" w:lineRule="auto"/>
              <w:jc w:val="center"/>
              <w:rPr>
                <w:rFonts w:ascii="Calibri" w:eastAsia="Times New Roman" w:hAnsi="Calibri" w:cs="Calibri"/>
                <w:color w:val="000000"/>
                <w:sz w:val="32"/>
                <w:szCs w:val="32"/>
              </w:rPr>
            </w:pPr>
            <w:r w:rsidRPr="00A80686">
              <w:rPr>
                <w:rFonts w:ascii="Calibri" w:eastAsia="Times New Roman" w:hAnsi="Calibri" w:cs="Calibri"/>
                <w:color w:val="000000"/>
                <w:sz w:val="32"/>
                <w:szCs w:val="32"/>
              </w:rPr>
              <w:t>ENGLAND</w:t>
            </w:r>
          </w:p>
        </w:tc>
      </w:tr>
      <w:tr w:rsidR="00A80686" w:rsidRPr="00A80686" w:rsidTr="00A80686">
        <w:trPr>
          <w:trHeight w:val="288"/>
        </w:trPr>
        <w:tc>
          <w:tcPr>
            <w:tcW w:w="716" w:type="dxa"/>
            <w:tcBorders>
              <w:top w:val="single" w:sz="4" w:space="0" w:color="95B3D7"/>
              <w:left w:val="single" w:sz="4" w:space="0" w:color="95B3D7"/>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rPr>
            </w:pPr>
            <w:r w:rsidRPr="00A80686">
              <w:rPr>
                <w:rFonts w:ascii="Calibri" w:eastAsia="Times New Roman" w:hAnsi="Calibri" w:cs="Calibri"/>
                <w:b/>
                <w:bCs/>
                <w:color w:val="FFFFFF"/>
              </w:rPr>
              <w:t>Years</w:t>
            </w:r>
          </w:p>
        </w:tc>
        <w:tc>
          <w:tcPr>
            <w:tcW w:w="1833" w:type="dxa"/>
            <w:tcBorders>
              <w:top w:val="single" w:sz="4" w:space="0" w:color="95B3D7"/>
              <w:left w:val="nil"/>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rPr>
            </w:pPr>
            <w:r w:rsidRPr="00A80686">
              <w:rPr>
                <w:rFonts w:ascii="Calibri" w:eastAsia="Times New Roman" w:hAnsi="Calibri" w:cs="Calibri"/>
                <w:b/>
                <w:bCs/>
                <w:color w:val="FFFFFF"/>
              </w:rPr>
              <w:t xml:space="preserve">Mortality rates </w:t>
            </w:r>
          </w:p>
        </w:tc>
        <w:tc>
          <w:tcPr>
            <w:tcW w:w="1615" w:type="dxa"/>
            <w:tcBorders>
              <w:top w:val="single" w:sz="4" w:space="0" w:color="95B3D7"/>
              <w:left w:val="nil"/>
              <w:bottom w:val="single" w:sz="4" w:space="0" w:color="95B3D7"/>
              <w:right w:val="single" w:sz="4" w:space="0" w:color="95B3D7"/>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rPr>
            </w:pPr>
            <w:r w:rsidRPr="00A80686">
              <w:rPr>
                <w:rFonts w:ascii="Calibri" w:eastAsia="Times New Roman" w:hAnsi="Calibri" w:cs="Calibri"/>
                <w:b/>
                <w:bCs/>
                <w:color w:val="FFFFFF"/>
              </w:rPr>
              <w:t>Growth rates</w:t>
            </w:r>
          </w:p>
        </w:tc>
      </w:tr>
      <w:tr w:rsidR="00A80686" w:rsidRPr="00A80686" w:rsidTr="00A80686">
        <w:trPr>
          <w:trHeight w:val="288"/>
        </w:trPr>
        <w:tc>
          <w:tcPr>
            <w:tcW w:w="716"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2020</w:t>
            </w:r>
          </w:p>
        </w:tc>
        <w:tc>
          <w:tcPr>
            <w:tcW w:w="1833"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10.3</w:t>
            </w:r>
          </w:p>
        </w:tc>
        <w:tc>
          <w:tcPr>
            <w:tcW w:w="1615" w:type="dxa"/>
            <w:tcBorders>
              <w:top w:val="single" w:sz="4" w:space="0" w:color="95B3D7"/>
              <w:left w:val="nil"/>
              <w:bottom w:val="single" w:sz="4" w:space="0" w:color="95B3D7"/>
              <w:right w:val="single" w:sz="4" w:space="0" w:color="95B3D7"/>
            </w:tcBorders>
            <w:shd w:val="clear" w:color="DCE6F1" w:fill="DCE6F1"/>
            <w:noWrap/>
            <w:vAlign w:val="bottom"/>
            <w:hideMark/>
          </w:tcPr>
          <w:p w:rsidR="00A80686" w:rsidRPr="00A80686" w:rsidRDefault="00435410"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-98</w:t>
            </w:r>
          </w:p>
        </w:tc>
      </w:tr>
      <w:tr w:rsidR="00A80686" w:rsidRPr="00A80686" w:rsidTr="00A80686">
        <w:trPr>
          <w:trHeight w:val="288"/>
        </w:trPr>
        <w:tc>
          <w:tcPr>
            <w:tcW w:w="716" w:type="dxa"/>
            <w:tcBorders>
              <w:top w:val="single" w:sz="4" w:space="0" w:color="95B3D7"/>
              <w:left w:val="single" w:sz="4" w:space="0" w:color="95B3D7"/>
              <w:bottom w:val="single" w:sz="4" w:space="0" w:color="95B3D7"/>
              <w:right w:val="nil"/>
            </w:tcBorders>
            <w:shd w:val="clear" w:color="auto" w:fill="auto"/>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2019</w:t>
            </w:r>
          </w:p>
        </w:tc>
        <w:tc>
          <w:tcPr>
            <w:tcW w:w="1833" w:type="dxa"/>
            <w:tcBorders>
              <w:top w:val="single" w:sz="4" w:space="0" w:color="95B3D7"/>
              <w:left w:val="nil"/>
              <w:bottom w:val="single" w:sz="4" w:space="0" w:color="95B3D7"/>
              <w:right w:val="nil"/>
            </w:tcBorders>
            <w:shd w:val="clear" w:color="auto" w:fill="auto"/>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9.1</w:t>
            </w:r>
          </w:p>
        </w:tc>
        <w:tc>
          <w:tcPr>
            <w:tcW w:w="1615" w:type="dxa"/>
            <w:tcBorders>
              <w:top w:val="single" w:sz="4" w:space="0" w:color="95B3D7"/>
              <w:left w:val="nil"/>
              <w:bottom w:val="single" w:sz="4" w:space="0" w:color="95B3D7"/>
              <w:right w:val="single" w:sz="4" w:space="0" w:color="95B3D7"/>
            </w:tcBorders>
            <w:shd w:val="clear" w:color="auto" w:fill="auto"/>
            <w:noWrap/>
            <w:vAlign w:val="bottom"/>
            <w:hideMark/>
          </w:tcPr>
          <w:p w:rsidR="00A80686" w:rsidRPr="00A80686" w:rsidRDefault="00435410"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A80686" w:rsidRPr="00A80686" w:rsidTr="00A80686">
        <w:trPr>
          <w:trHeight w:val="288"/>
        </w:trPr>
        <w:tc>
          <w:tcPr>
            <w:tcW w:w="716"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2018</w:t>
            </w:r>
          </w:p>
        </w:tc>
        <w:tc>
          <w:tcPr>
            <w:tcW w:w="1833"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9.3</w:t>
            </w:r>
          </w:p>
        </w:tc>
        <w:tc>
          <w:tcPr>
            <w:tcW w:w="1615" w:type="dxa"/>
            <w:tcBorders>
              <w:top w:val="single" w:sz="4" w:space="0" w:color="95B3D7"/>
              <w:left w:val="nil"/>
              <w:bottom w:val="single" w:sz="4" w:space="0" w:color="95B3D7"/>
              <w:right w:val="single" w:sz="4" w:space="0" w:color="95B3D7"/>
            </w:tcBorders>
            <w:shd w:val="clear" w:color="DCE6F1" w:fill="DCE6F1"/>
            <w:noWrap/>
            <w:vAlign w:val="bottom"/>
            <w:hideMark/>
          </w:tcPr>
          <w:p w:rsidR="00E722A9" w:rsidRPr="00A80686" w:rsidRDefault="00E722A9" w:rsidP="00E722A9">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r>
    </w:tbl>
    <w:p w:rsidR="00A80686" w:rsidRDefault="00A80686" w:rsidP="00662122">
      <w:pPr>
        <w:rPr>
          <w:rFonts w:ascii="Calibri" w:hAnsi="Calibri" w:cs="Calibri"/>
          <w:color w:val="141414"/>
          <w:sz w:val="24"/>
          <w:szCs w:val="27"/>
        </w:rPr>
      </w:pPr>
    </w:p>
    <w:p w:rsidR="008A3AAC" w:rsidRDefault="00E722A9" w:rsidP="00662122">
      <w:pPr>
        <w:rPr>
          <w:sz w:val="24"/>
        </w:rPr>
      </w:pPr>
      <w:r>
        <w:rPr>
          <w:noProof/>
        </w:rPr>
        <w:lastRenderedPageBreak/>
        <w:drawing>
          <wp:inline distT="0" distB="0" distL="0" distR="0" wp14:anchorId="0880B902" wp14:editId="174636A8">
            <wp:extent cx="65532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4C35" w:rsidRDefault="00F94C35" w:rsidP="00662122">
      <w:pPr>
        <w:rPr>
          <w:sz w:val="24"/>
        </w:rPr>
      </w:pPr>
      <w:r>
        <w:rPr>
          <w:sz w:val="24"/>
        </w:rPr>
        <w:t>Growth rate is multiplied by 10 for better understanding.</w:t>
      </w:r>
    </w:p>
    <w:p w:rsidR="00A80686" w:rsidRDefault="00F37C0B" w:rsidP="00662122">
      <w:pPr>
        <w:rPr>
          <w:sz w:val="24"/>
        </w:rPr>
      </w:pPr>
      <w:r>
        <w:rPr>
          <w:sz w:val="24"/>
        </w:rPr>
        <w:t xml:space="preserve">Another approach of our paper focuses on poverty as a key which effects development through various channels. Poverty in England for the year 2019 had recorded to be 18 percent of the population whereas this number has seen to increase in the coming years due to pandemic. England is the nation which had affected by CORONAVURUS’s many new variants as well. UK had to go through under lockdown many times due the emergence of such new variants. Year 2020 had poverty rate of 23 percent which rose to a decade maximum for England to 47 percent. </w:t>
      </w:r>
    </w:p>
    <w:tbl>
      <w:tblPr>
        <w:tblW w:w="4154" w:type="dxa"/>
        <w:tblInd w:w="2610" w:type="dxa"/>
        <w:tblLook w:val="04A0" w:firstRow="1" w:lastRow="0" w:firstColumn="1" w:lastColumn="0" w:noHBand="0" w:noVBand="1"/>
      </w:tblPr>
      <w:tblGrid>
        <w:gridCol w:w="762"/>
        <w:gridCol w:w="1644"/>
        <w:gridCol w:w="1748"/>
      </w:tblGrid>
      <w:tr w:rsidR="00A80686" w:rsidRPr="00A80686" w:rsidTr="00A80686">
        <w:trPr>
          <w:trHeight w:val="420"/>
        </w:trPr>
        <w:tc>
          <w:tcPr>
            <w:tcW w:w="4154" w:type="dxa"/>
            <w:gridSpan w:val="3"/>
            <w:tcBorders>
              <w:top w:val="nil"/>
              <w:left w:val="nil"/>
              <w:bottom w:val="nil"/>
              <w:right w:val="nil"/>
            </w:tcBorders>
            <w:shd w:val="clear" w:color="auto" w:fill="auto"/>
            <w:noWrap/>
            <w:vAlign w:val="bottom"/>
            <w:hideMark/>
          </w:tcPr>
          <w:p w:rsidR="00A80686" w:rsidRPr="00A80686" w:rsidRDefault="00A80686" w:rsidP="00A80686">
            <w:pPr>
              <w:spacing w:after="0" w:line="240" w:lineRule="auto"/>
              <w:jc w:val="center"/>
              <w:rPr>
                <w:rFonts w:ascii="Calibri" w:eastAsia="Times New Roman" w:hAnsi="Calibri" w:cs="Calibri"/>
                <w:color w:val="000000"/>
                <w:sz w:val="32"/>
                <w:szCs w:val="32"/>
              </w:rPr>
            </w:pPr>
            <w:r w:rsidRPr="00A80686">
              <w:rPr>
                <w:rFonts w:ascii="Calibri" w:eastAsia="Times New Roman" w:hAnsi="Calibri" w:cs="Calibri"/>
                <w:color w:val="000000"/>
                <w:sz w:val="32"/>
                <w:szCs w:val="32"/>
              </w:rPr>
              <w:t>ENGLAND</w:t>
            </w:r>
          </w:p>
        </w:tc>
      </w:tr>
      <w:tr w:rsidR="00A80686" w:rsidRPr="00A80686" w:rsidTr="00A80686">
        <w:trPr>
          <w:trHeight w:val="312"/>
        </w:trPr>
        <w:tc>
          <w:tcPr>
            <w:tcW w:w="762" w:type="dxa"/>
            <w:tcBorders>
              <w:top w:val="single" w:sz="4" w:space="0" w:color="95B3D7"/>
              <w:left w:val="single" w:sz="4" w:space="0" w:color="95B3D7"/>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Years</w:t>
            </w:r>
          </w:p>
        </w:tc>
        <w:tc>
          <w:tcPr>
            <w:tcW w:w="1644" w:type="dxa"/>
            <w:tcBorders>
              <w:top w:val="single" w:sz="4" w:space="0" w:color="95B3D7"/>
              <w:left w:val="nil"/>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Poverty rate</w:t>
            </w:r>
          </w:p>
        </w:tc>
        <w:tc>
          <w:tcPr>
            <w:tcW w:w="1748" w:type="dxa"/>
            <w:tcBorders>
              <w:top w:val="single" w:sz="4" w:space="0" w:color="95B3D7"/>
              <w:left w:val="nil"/>
              <w:bottom w:val="single" w:sz="4" w:space="0" w:color="95B3D7"/>
              <w:right w:val="single" w:sz="4" w:space="0" w:color="95B3D7"/>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Growth rates</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E722A9"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2020</w:t>
            </w:r>
          </w:p>
        </w:tc>
        <w:tc>
          <w:tcPr>
            <w:tcW w:w="1644"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E722A9"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23</w:t>
            </w:r>
          </w:p>
        </w:tc>
        <w:tc>
          <w:tcPr>
            <w:tcW w:w="1748" w:type="dxa"/>
            <w:tcBorders>
              <w:top w:val="single" w:sz="4" w:space="0" w:color="95B3D7"/>
              <w:left w:val="nil"/>
              <w:bottom w:val="single" w:sz="4" w:space="0" w:color="95B3D7"/>
              <w:right w:val="single" w:sz="4" w:space="0" w:color="95B3D7"/>
            </w:tcBorders>
            <w:shd w:val="clear" w:color="DCE6F1" w:fill="DCE6F1"/>
            <w:noWrap/>
            <w:vAlign w:val="bottom"/>
            <w:hideMark/>
          </w:tcPr>
          <w:p w:rsidR="00A80686" w:rsidRPr="00A80686" w:rsidRDefault="00E722A9"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435410">
              <w:rPr>
                <w:rFonts w:ascii="Calibri" w:eastAsia="Times New Roman" w:hAnsi="Calibri" w:cs="Calibri"/>
                <w:color w:val="000000"/>
              </w:rPr>
              <w:t>98</w:t>
            </w:r>
            <w:r>
              <w:rPr>
                <w:rFonts w:ascii="Calibri" w:eastAsia="Times New Roman" w:hAnsi="Calibri" w:cs="Calibri"/>
                <w:color w:val="000000"/>
              </w:rPr>
              <w:t>.5</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auto" w:fill="auto"/>
            <w:noWrap/>
            <w:vAlign w:val="bottom"/>
            <w:hideMark/>
          </w:tcPr>
          <w:p w:rsidR="00A80686" w:rsidRPr="00A80686" w:rsidRDefault="00F930D2" w:rsidP="00E722A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r w:rsidR="00E722A9">
              <w:rPr>
                <w:rFonts w:ascii="Calibri" w:eastAsia="Times New Roman" w:hAnsi="Calibri" w:cs="Calibri"/>
                <w:color w:val="000000"/>
              </w:rPr>
              <w:t>19</w:t>
            </w:r>
          </w:p>
        </w:tc>
        <w:tc>
          <w:tcPr>
            <w:tcW w:w="1644" w:type="dxa"/>
            <w:tcBorders>
              <w:top w:val="single" w:sz="4" w:space="0" w:color="95B3D7"/>
              <w:left w:val="nil"/>
              <w:bottom w:val="single" w:sz="4" w:space="0" w:color="95B3D7"/>
              <w:right w:val="nil"/>
            </w:tcBorders>
            <w:shd w:val="clear" w:color="auto" w:fill="auto"/>
            <w:noWrap/>
            <w:vAlign w:val="bottom"/>
            <w:hideMark/>
          </w:tcPr>
          <w:p w:rsidR="00A80686" w:rsidRPr="00A80686" w:rsidRDefault="00E722A9" w:rsidP="00F930D2">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1748" w:type="dxa"/>
            <w:tcBorders>
              <w:top w:val="single" w:sz="4" w:space="0" w:color="95B3D7"/>
              <w:left w:val="nil"/>
              <w:bottom w:val="single" w:sz="4" w:space="0" w:color="95B3D7"/>
              <w:right w:val="single" w:sz="4" w:space="0" w:color="95B3D7"/>
            </w:tcBorders>
            <w:shd w:val="clear" w:color="auto" w:fill="auto"/>
            <w:noWrap/>
            <w:vAlign w:val="bottom"/>
            <w:hideMark/>
          </w:tcPr>
          <w:p w:rsidR="00A80686" w:rsidRPr="00A80686" w:rsidRDefault="00435410"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F930D2" w:rsidP="00E722A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r w:rsidR="00E722A9">
              <w:rPr>
                <w:rFonts w:ascii="Calibri" w:eastAsia="Times New Roman" w:hAnsi="Calibri" w:cs="Calibri"/>
                <w:color w:val="000000"/>
              </w:rPr>
              <w:t>18</w:t>
            </w:r>
          </w:p>
        </w:tc>
        <w:tc>
          <w:tcPr>
            <w:tcW w:w="1644"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E722A9"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1748" w:type="dxa"/>
            <w:tcBorders>
              <w:top w:val="single" w:sz="4" w:space="0" w:color="95B3D7"/>
              <w:left w:val="nil"/>
              <w:bottom w:val="single" w:sz="4" w:space="0" w:color="95B3D7"/>
              <w:right w:val="single" w:sz="4" w:space="0" w:color="95B3D7"/>
            </w:tcBorders>
            <w:shd w:val="clear" w:color="DCE6F1" w:fill="DCE6F1"/>
            <w:noWrap/>
            <w:vAlign w:val="bottom"/>
            <w:hideMark/>
          </w:tcPr>
          <w:p w:rsidR="00A80686" w:rsidRPr="00A80686" w:rsidRDefault="00E722A9" w:rsidP="00A80686">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r>
    </w:tbl>
    <w:p w:rsidR="00A80686" w:rsidRDefault="00A80686" w:rsidP="00662122">
      <w:pPr>
        <w:rPr>
          <w:sz w:val="24"/>
        </w:rPr>
      </w:pPr>
    </w:p>
    <w:p w:rsidR="005079F5" w:rsidRDefault="00E722A9" w:rsidP="00662122">
      <w:pPr>
        <w:rPr>
          <w:sz w:val="24"/>
        </w:rPr>
      </w:pPr>
      <w:r>
        <w:rPr>
          <w:noProof/>
        </w:rPr>
        <w:lastRenderedPageBreak/>
        <w:drawing>
          <wp:inline distT="0" distB="0" distL="0" distR="0" wp14:anchorId="55D236C7" wp14:editId="2D246A9A">
            <wp:extent cx="6499860" cy="2743200"/>
            <wp:effectExtent l="0" t="0" r="1524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079F5" w:rsidRDefault="005079F5" w:rsidP="005079F5">
      <w:pPr>
        <w:rPr>
          <w:sz w:val="24"/>
        </w:rPr>
      </w:pPr>
      <w:r>
        <w:rPr>
          <w:sz w:val="24"/>
        </w:rPr>
        <w:t>Growth rate is multiplied by 10 for better understanding.</w:t>
      </w:r>
    </w:p>
    <w:p w:rsidR="005079F5" w:rsidRDefault="005079F5" w:rsidP="00662122">
      <w:pPr>
        <w:rPr>
          <w:sz w:val="24"/>
        </w:rPr>
      </w:pPr>
      <w:r>
        <w:rPr>
          <w:sz w:val="24"/>
        </w:rPr>
        <w:t xml:space="preserve">The above two countries that we mentioned are considered as developed nations. It is startling to see how these nations fell in their growth rates due to pandemic. </w:t>
      </w:r>
    </w:p>
    <w:p w:rsidR="005079F5" w:rsidRDefault="005079F5" w:rsidP="00662122">
      <w:pPr>
        <w:rPr>
          <w:sz w:val="24"/>
        </w:rPr>
      </w:pPr>
      <w:r>
        <w:rPr>
          <w:sz w:val="24"/>
        </w:rPr>
        <w:t>Later coming we are going to address two developing nations and will perform the same actions as we did with our previous developed nations to analyze better.</w:t>
      </w:r>
    </w:p>
    <w:p w:rsidR="00835D8F" w:rsidRPr="00835D8F" w:rsidRDefault="00835D8F" w:rsidP="00835D8F">
      <w:pPr>
        <w:jc w:val="center"/>
        <w:rPr>
          <w:rStyle w:val="Emphasis"/>
          <w:sz w:val="36"/>
        </w:rPr>
      </w:pPr>
      <w:r>
        <w:rPr>
          <w:rStyle w:val="Emphasis"/>
          <w:sz w:val="36"/>
        </w:rPr>
        <w:t>DEVELOPING NATIONS</w:t>
      </w:r>
    </w:p>
    <w:p w:rsidR="0062579A" w:rsidRDefault="0062579A" w:rsidP="0062579A">
      <w:pPr>
        <w:pStyle w:val="Heading3"/>
        <w:rPr>
          <w:sz w:val="32"/>
        </w:rPr>
      </w:pPr>
      <w:r>
        <w:rPr>
          <w:sz w:val="32"/>
        </w:rPr>
        <w:t>SPAIN</w:t>
      </w:r>
    </w:p>
    <w:p w:rsidR="0062579A" w:rsidRDefault="00B65514" w:rsidP="0062579A">
      <w:pPr>
        <w:rPr>
          <w:sz w:val="24"/>
        </w:rPr>
      </w:pPr>
      <w:r>
        <w:t xml:space="preserve"> </w:t>
      </w:r>
      <w:proofErr w:type="gramStart"/>
      <w:r w:rsidRPr="00B65514">
        <w:rPr>
          <w:sz w:val="24"/>
        </w:rPr>
        <w:t>Analyzing the effect of COVID: 19 on SPAIN’s development we will first look through mortality rate point of view.</w:t>
      </w:r>
      <w:proofErr w:type="gramEnd"/>
      <w:r w:rsidRPr="00B65514">
        <w:rPr>
          <w:sz w:val="24"/>
        </w:rPr>
        <w:t xml:space="preserve"> Mortality or death rates in </w:t>
      </w:r>
      <w:r>
        <w:rPr>
          <w:sz w:val="24"/>
        </w:rPr>
        <w:t>S</w:t>
      </w:r>
      <w:r w:rsidRPr="00B65514">
        <w:rPr>
          <w:sz w:val="24"/>
        </w:rPr>
        <w:t>pain for the year 2018 was 9.1 for 2019 was 8.83 and for 2020 the year of pandemic strike for the world is 10.3</w:t>
      </w:r>
      <w:r w:rsidR="00835D8F">
        <w:rPr>
          <w:sz w:val="24"/>
        </w:rPr>
        <w:t xml:space="preserve"> per 1000 people</w:t>
      </w:r>
      <w:r w:rsidRPr="00B65514">
        <w:rPr>
          <w:sz w:val="24"/>
        </w:rPr>
        <w:t>. The annual growth rate for these three years had been 7.88, -2.71 and -8.48 respectively for 2018, 19 and 20.</w:t>
      </w:r>
      <w:r>
        <w:rPr>
          <w:sz w:val="24"/>
        </w:rPr>
        <w:t xml:space="preserve"> Our statistics of GDP per capita is $30,389, $29,565 and $27,057 for those years 2018-2020. Given this data we are able to comprehend how after effects of pandemic has resulted in fall in growth rate (also GDP per capita).</w:t>
      </w:r>
      <w:r w:rsidR="003B244E">
        <w:rPr>
          <w:sz w:val="24"/>
        </w:rPr>
        <w:t xml:space="preserve"> Deaths due to COVID: 19 in Spain are 99,410.</w:t>
      </w:r>
    </w:p>
    <w:tbl>
      <w:tblPr>
        <w:tblW w:w="4444" w:type="dxa"/>
        <w:tblInd w:w="2466" w:type="dxa"/>
        <w:tblLook w:val="04A0" w:firstRow="1" w:lastRow="0" w:firstColumn="1" w:lastColumn="0" w:noHBand="0" w:noVBand="1"/>
      </w:tblPr>
      <w:tblGrid>
        <w:gridCol w:w="762"/>
        <w:gridCol w:w="1958"/>
        <w:gridCol w:w="1724"/>
      </w:tblGrid>
      <w:tr w:rsidR="00A80686" w:rsidRPr="00A80686" w:rsidTr="00A80686">
        <w:trPr>
          <w:trHeight w:val="420"/>
        </w:trPr>
        <w:tc>
          <w:tcPr>
            <w:tcW w:w="4444" w:type="dxa"/>
            <w:gridSpan w:val="3"/>
            <w:tcBorders>
              <w:top w:val="nil"/>
              <w:left w:val="nil"/>
              <w:bottom w:val="nil"/>
              <w:right w:val="nil"/>
            </w:tcBorders>
            <w:shd w:val="clear" w:color="auto" w:fill="auto"/>
            <w:noWrap/>
            <w:vAlign w:val="bottom"/>
            <w:hideMark/>
          </w:tcPr>
          <w:p w:rsidR="00A80686" w:rsidRPr="00A80686" w:rsidRDefault="00A80686" w:rsidP="00A80686">
            <w:pPr>
              <w:spacing w:after="0" w:line="240" w:lineRule="auto"/>
              <w:jc w:val="center"/>
              <w:rPr>
                <w:rFonts w:ascii="Calibri" w:eastAsia="Times New Roman" w:hAnsi="Calibri" w:cs="Calibri"/>
                <w:b/>
                <w:bCs/>
                <w:color w:val="000000"/>
                <w:sz w:val="32"/>
                <w:szCs w:val="32"/>
              </w:rPr>
            </w:pPr>
            <w:r w:rsidRPr="00A80686">
              <w:rPr>
                <w:rFonts w:ascii="Calibri" w:eastAsia="Times New Roman" w:hAnsi="Calibri" w:cs="Calibri"/>
                <w:b/>
                <w:bCs/>
                <w:color w:val="000000"/>
                <w:sz w:val="32"/>
                <w:szCs w:val="32"/>
              </w:rPr>
              <w:t>SPAIN</w:t>
            </w:r>
          </w:p>
        </w:tc>
      </w:tr>
      <w:tr w:rsidR="00A80686" w:rsidRPr="00A80686" w:rsidTr="00A80686">
        <w:trPr>
          <w:trHeight w:val="312"/>
        </w:trPr>
        <w:tc>
          <w:tcPr>
            <w:tcW w:w="762" w:type="dxa"/>
            <w:tcBorders>
              <w:top w:val="single" w:sz="4" w:space="0" w:color="95B3D7"/>
              <w:left w:val="single" w:sz="4" w:space="0" w:color="95B3D7"/>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Years</w:t>
            </w:r>
          </w:p>
        </w:tc>
        <w:tc>
          <w:tcPr>
            <w:tcW w:w="1958" w:type="dxa"/>
            <w:tcBorders>
              <w:top w:val="single" w:sz="4" w:space="0" w:color="95B3D7"/>
              <w:left w:val="nil"/>
              <w:bottom w:val="single" w:sz="4" w:space="0" w:color="95B3D7"/>
              <w:right w:val="nil"/>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Mortality rates</w:t>
            </w:r>
          </w:p>
        </w:tc>
        <w:tc>
          <w:tcPr>
            <w:tcW w:w="1724" w:type="dxa"/>
            <w:tcBorders>
              <w:top w:val="single" w:sz="4" w:space="0" w:color="95B3D7"/>
              <w:left w:val="nil"/>
              <w:bottom w:val="single" w:sz="4" w:space="0" w:color="95B3D7"/>
              <w:right w:val="single" w:sz="4" w:space="0" w:color="95B3D7"/>
            </w:tcBorders>
            <w:shd w:val="clear" w:color="4F81BD" w:fill="4F81BD"/>
            <w:noWrap/>
            <w:vAlign w:val="bottom"/>
            <w:hideMark/>
          </w:tcPr>
          <w:p w:rsidR="00A80686" w:rsidRPr="00A80686" w:rsidRDefault="00A80686" w:rsidP="00A80686">
            <w:pPr>
              <w:spacing w:after="0" w:line="240" w:lineRule="auto"/>
              <w:rPr>
                <w:rFonts w:ascii="Calibri" w:eastAsia="Times New Roman" w:hAnsi="Calibri" w:cs="Calibri"/>
                <w:b/>
                <w:bCs/>
                <w:color w:val="FFFFFF"/>
                <w:sz w:val="24"/>
                <w:szCs w:val="24"/>
              </w:rPr>
            </w:pPr>
            <w:r w:rsidRPr="00A80686">
              <w:rPr>
                <w:rFonts w:ascii="Calibri" w:eastAsia="Times New Roman" w:hAnsi="Calibri" w:cs="Calibri"/>
                <w:b/>
                <w:bCs/>
                <w:color w:val="FFFFFF"/>
                <w:sz w:val="24"/>
                <w:szCs w:val="24"/>
              </w:rPr>
              <w:t>Growth rates</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2018</w:t>
            </w:r>
          </w:p>
        </w:tc>
        <w:tc>
          <w:tcPr>
            <w:tcW w:w="1958"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9.1</w:t>
            </w:r>
          </w:p>
        </w:tc>
        <w:tc>
          <w:tcPr>
            <w:tcW w:w="1724" w:type="dxa"/>
            <w:tcBorders>
              <w:top w:val="single" w:sz="4" w:space="0" w:color="95B3D7"/>
              <w:left w:val="nil"/>
              <w:bottom w:val="single" w:sz="4" w:space="0" w:color="95B3D7"/>
              <w:right w:val="single" w:sz="4" w:space="0" w:color="95B3D7"/>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7.88</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auto" w:fill="auto"/>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2019</w:t>
            </w:r>
          </w:p>
        </w:tc>
        <w:tc>
          <w:tcPr>
            <w:tcW w:w="1958" w:type="dxa"/>
            <w:tcBorders>
              <w:top w:val="single" w:sz="4" w:space="0" w:color="95B3D7"/>
              <w:left w:val="nil"/>
              <w:bottom w:val="single" w:sz="4" w:space="0" w:color="95B3D7"/>
              <w:right w:val="nil"/>
            </w:tcBorders>
            <w:shd w:val="clear" w:color="auto" w:fill="auto"/>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8.83</w:t>
            </w:r>
          </w:p>
        </w:tc>
        <w:tc>
          <w:tcPr>
            <w:tcW w:w="1724" w:type="dxa"/>
            <w:tcBorders>
              <w:top w:val="single" w:sz="4" w:space="0" w:color="95B3D7"/>
              <w:left w:val="nil"/>
              <w:bottom w:val="single" w:sz="4" w:space="0" w:color="95B3D7"/>
              <w:right w:val="single" w:sz="4" w:space="0" w:color="95B3D7"/>
            </w:tcBorders>
            <w:shd w:val="clear" w:color="auto" w:fill="auto"/>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-2.71</w:t>
            </w:r>
          </w:p>
        </w:tc>
      </w:tr>
      <w:tr w:rsidR="00A80686" w:rsidRPr="00A80686" w:rsidTr="00A80686">
        <w:trPr>
          <w:trHeight w:val="288"/>
        </w:trPr>
        <w:tc>
          <w:tcPr>
            <w:tcW w:w="762" w:type="dxa"/>
            <w:tcBorders>
              <w:top w:val="single" w:sz="4" w:space="0" w:color="95B3D7"/>
              <w:left w:val="single" w:sz="4" w:space="0" w:color="95B3D7"/>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2020</w:t>
            </w:r>
          </w:p>
        </w:tc>
        <w:tc>
          <w:tcPr>
            <w:tcW w:w="1958" w:type="dxa"/>
            <w:tcBorders>
              <w:top w:val="single" w:sz="4" w:space="0" w:color="95B3D7"/>
              <w:left w:val="nil"/>
              <w:bottom w:val="single" w:sz="4" w:space="0" w:color="95B3D7"/>
              <w:right w:val="nil"/>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10.3</w:t>
            </w:r>
          </w:p>
        </w:tc>
        <w:tc>
          <w:tcPr>
            <w:tcW w:w="1724" w:type="dxa"/>
            <w:tcBorders>
              <w:top w:val="single" w:sz="4" w:space="0" w:color="95B3D7"/>
              <w:left w:val="nil"/>
              <w:bottom w:val="single" w:sz="4" w:space="0" w:color="95B3D7"/>
              <w:right w:val="single" w:sz="4" w:space="0" w:color="95B3D7"/>
            </w:tcBorders>
            <w:shd w:val="clear" w:color="DCE6F1" w:fill="DCE6F1"/>
            <w:noWrap/>
            <w:vAlign w:val="bottom"/>
            <w:hideMark/>
          </w:tcPr>
          <w:p w:rsidR="00A80686" w:rsidRPr="00A80686" w:rsidRDefault="00A80686" w:rsidP="00A80686">
            <w:pPr>
              <w:spacing w:after="0" w:line="240" w:lineRule="auto"/>
              <w:jc w:val="right"/>
              <w:rPr>
                <w:rFonts w:ascii="Calibri" w:eastAsia="Times New Roman" w:hAnsi="Calibri" w:cs="Calibri"/>
                <w:color w:val="000000"/>
              </w:rPr>
            </w:pPr>
            <w:r w:rsidRPr="00A80686">
              <w:rPr>
                <w:rFonts w:ascii="Calibri" w:eastAsia="Times New Roman" w:hAnsi="Calibri" w:cs="Calibri"/>
                <w:color w:val="000000"/>
              </w:rPr>
              <w:t>-8.48</w:t>
            </w:r>
          </w:p>
        </w:tc>
      </w:tr>
    </w:tbl>
    <w:p w:rsidR="00A80686" w:rsidRDefault="00A80686" w:rsidP="0062579A">
      <w:pPr>
        <w:rPr>
          <w:sz w:val="24"/>
        </w:rPr>
      </w:pPr>
    </w:p>
    <w:p w:rsidR="00A80686" w:rsidRDefault="00A80686" w:rsidP="0062579A">
      <w:pPr>
        <w:rPr>
          <w:sz w:val="24"/>
        </w:rPr>
      </w:pPr>
      <w:r>
        <w:rPr>
          <w:noProof/>
        </w:rPr>
        <w:lastRenderedPageBreak/>
        <w:drawing>
          <wp:inline distT="0" distB="0" distL="0" distR="0" wp14:anchorId="4280393D" wp14:editId="1EE72882">
            <wp:extent cx="6332220" cy="2743200"/>
            <wp:effectExtent l="0" t="0" r="1143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B244E" w:rsidRDefault="003B244E" w:rsidP="0062579A">
      <w:pPr>
        <w:rPr>
          <w:sz w:val="24"/>
        </w:rPr>
      </w:pPr>
      <w:r>
        <w:rPr>
          <w:sz w:val="24"/>
        </w:rPr>
        <w:t>Poverty rate experienced by Spain in the 2020 is equal to 21 percent whereas in 2019 this rate</w:t>
      </w:r>
      <w:r w:rsidR="000520EA">
        <w:rPr>
          <w:sz w:val="24"/>
        </w:rPr>
        <w:t xml:space="preserve"> has been equal to 20.7 percent. There are significant results of fall in growth rate but the impact of mortalities and poverty increase is very less.  We can say for this case that fall in growth rate for Spain has not much affected by those factors which are directly influenced by COVID. Clearly other factors (inequality, population growth </w:t>
      </w:r>
      <w:r w:rsidR="002710BA">
        <w:rPr>
          <w:sz w:val="24"/>
        </w:rPr>
        <w:t>etc.</w:t>
      </w:r>
      <w:r w:rsidR="000520EA">
        <w:rPr>
          <w:sz w:val="24"/>
        </w:rPr>
        <w:t>) had their impact on the results we are witnessing here of Spain.</w:t>
      </w:r>
    </w:p>
    <w:tbl>
      <w:tblPr>
        <w:tblW w:w="4314" w:type="dxa"/>
        <w:tblInd w:w="2532" w:type="dxa"/>
        <w:tblLook w:val="04A0" w:firstRow="1" w:lastRow="0" w:firstColumn="1" w:lastColumn="0" w:noHBand="0" w:noVBand="1"/>
      </w:tblPr>
      <w:tblGrid>
        <w:gridCol w:w="799"/>
        <w:gridCol w:w="1751"/>
        <w:gridCol w:w="1764"/>
      </w:tblGrid>
      <w:tr w:rsidR="000520EA" w:rsidRPr="000520EA" w:rsidTr="000520EA">
        <w:trPr>
          <w:trHeight w:val="420"/>
        </w:trPr>
        <w:tc>
          <w:tcPr>
            <w:tcW w:w="4314" w:type="dxa"/>
            <w:gridSpan w:val="3"/>
            <w:tcBorders>
              <w:top w:val="nil"/>
              <w:left w:val="nil"/>
              <w:bottom w:val="nil"/>
              <w:right w:val="nil"/>
            </w:tcBorders>
            <w:shd w:val="clear" w:color="auto" w:fill="auto"/>
            <w:noWrap/>
            <w:vAlign w:val="bottom"/>
            <w:hideMark/>
          </w:tcPr>
          <w:p w:rsidR="000520EA" w:rsidRPr="000520EA" w:rsidRDefault="000520EA" w:rsidP="000520EA">
            <w:pPr>
              <w:spacing w:after="0" w:line="240" w:lineRule="auto"/>
              <w:jc w:val="center"/>
              <w:rPr>
                <w:rFonts w:ascii="Calibri" w:eastAsia="Times New Roman" w:hAnsi="Calibri" w:cs="Calibri"/>
                <w:color w:val="000000"/>
                <w:sz w:val="32"/>
                <w:szCs w:val="32"/>
              </w:rPr>
            </w:pPr>
            <w:r w:rsidRPr="000520EA">
              <w:rPr>
                <w:rFonts w:ascii="Calibri" w:eastAsia="Times New Roman" w:hAnsi="Calibri" w:cs="Calibri"/>
                <w:color w:val="000000"/>
                <w:sz w:val="32"/>
                <w:szCs w:val="32"/>
              </w:rPr>
              <w:t>SPAIN</w:t>
            </w:r>
          </w:p>
        </w:tc>
      </w:tr>
      <w:tr w:rsidR="000520EA" w:rsidRPr="000520EA" w:rsidTr="000520EA">
        <w:trPr>
          <w:trHeight w:val="288"/>
        </w:trPr>
        <w:tc>
          <w:tcPr>
            <w:tcW w:w="799" w:type="dxa"/>
            <w:tcBorders>
              <w:top w:val="single" w:sz="4" w:space="0" w:color="95B3D7"/>
              <w:left w:val="single" w:sz="4" w:space="0" w:color="95B3D7"/>
              <w:bottom w:val="single" w:sz="4" w:space="0" w:color="95B3D7"/>
              <w:right w:val="nil"/>
            </w:tcBorders>
            <w:shd w:val="clear" w:color="4F81BD" w:fill="4F81BD"/>
            <w:noWrap/>
            <w:vAlign w:val="bottom"/>
            <w:hideMark/>
          </w:tcPr>
          <w:p w:rsidR="000520EA" w:rsidRPr="000520EA" w:rsidRDefault="000520EA" w:rsidP="000520EA">
            <w:pPr>
              <w:spacing w:after="0" w:line="240" w:lineRule="auto"/>
              <w:rPr>
                <w:rFonts w:ascii="Calibri" w:eastAsia="Times New Roman" w:hAnsi="Calibri" w:cs="Calibri"/>
                <w:b/>
                <w:bCs/>
                <w:color w:val="FFFFFF"/>
              </w:rPr>
            </w:pPr>
            <w:r w:rsidRPr="000520EA">
              <w:rPr>
                <w:rFonts w:ascii="Calibri" w:eastAsia="Times New Roman" w:hAnsi="Calibri" w:cs="Calibri"/>
                <w:b/>
                <w:bCs/>
                <w:color w:val="FFFFFF"/>
              </w:rPr>
              <w:t>YEARS</w:t>
            </w:r>
          </w:p>
        </w:tc>
        <w:tc>
          <w:tcPr>
            <w:tcW w:w="1751" w:type="dxa"/>
            <w:tcBorders>
              <w:top w:val="single" w:sz="4" w:space="0" w:color="95B3D7"/>
              <w:left w:val="nil"/>
              <w:bottom w:val="single" w:sz="4" w:space="0" w:color="95B3D7"/>
              <w:right w:val="nil"/>
            </w:tcBorders>
            <w:shd w:val="clear" w:color="4F81BD" w:fill="4F81BD"/>
            <w:noWrap/>
            <w:vAlign w:val="bottom"/>
            <w:hideMark/>
          </w:tcPr>
          <w:p w:rsidR="000520EA" w:rsidRPr="000520EA" w:rsidRDefault="000520EA" w:rsidP="000520EA">
            <w:pPr>
              <w:spacing w:after="0" w:line="240" w:lineRule="auto"/>
              <w:rPr>
                <w:rFonts w:ascii="Calibri" w:eastAsia="Times New Roman" w:hAnsi="Calibri" w:cs="Calibri"/>
                <w:b/>
                <w:bCs/>
                <w:color w:val="FFFFFF"/>
              </w:rPr>
            </w:pPr>
            <w:r w:rsidRPr="000520EA">
              <w:rPr>
                <w:rFonts w:ascii="Calibri" w:eastAsia="Times New Roman" w:hAnsi="Calibri" w:cs="Calibri"/>
                <w:b/>
                <w:bCs/>
                <w:color w:val="FFFFFF"/>
              </w:rPr>
              <w:t>POVERTY RATE</w:t>
            </w:r>
          </w:p>
        </w:tc>
        <w:tc>
          <w:tcPr>
            <w:tcW w:w="1764" w:type="dxa"/>
            <w:tcBorders>
              <w:top w:val="single" w:sz="4" w:space="0" w:color="95B3D7"/>
              <w:left w:val="nil"/>
              <w:bottom w:val="single" w:sz="4" w:space="0" w:color="95B3D7"/>
              <w:right w:val="single" w:sz="4" w:space="0" w:color="95B3D7"/>
            </w:tcBorders>
            <w:shd w:val="clear" w:color="4F81BD" w:fill="4F81BD"/>
            <w:noWrap/>
            <w:vAlign w:val="bottom"/>
            <w:hideMark/>
          </w:tcPr>
          <w:p w:rsidR="000520EA" w:rsidRPr="000520EA" w:rsidRDefault="000520EA" w:rsidP="000520EA">
            <w:pPr>
              <w:spacing w:after="0" w:line="240" w:lineRule="auto"/>
              <w:rPr>
                <w:rFonts w:ascii="Calibri" w:eastAsia="Times New Roman" w:hAnsi="Calibri" w:cs="Calibri"/>
                <w:b/>
                <w:bCs/>
                <w:color w:val="FFFFFF"/>
              </w:rPr>
            </w:pPr>
            <w:r w:rsidRPr="000520EA">
              <w:rPr>
                <w:rFonts w:ascii="Calibri" w:eastAsia="Times New Roman" w:hAnsi="Calibri" w:cs="Calibri"/>
                <w:b/>
                <w:bCs/>
                <w:color w:val="FFFFFF"/>
              </w:rPr>
              <w:t>GROWTH RATE</w:t>
            </w:r>
          </w:p>
        </w:tc>
      </w:tr>
      <w:tr w:rsidR="000520EA" w:rsidRPr="000520EA" w:rsidTr="000520EA">
        <w:trPr>
          <w:trHeight w:val="288"/>
        </w:trPr>
        <w:tc>
          <w:tcPr>
            <w:tcW w:w="799" w:type="dxa"/>
            <w:tcBorders>
              <w:top w:val="single" w:sz="4" w:space="0" w:color="95B3D7"/>
              <w:left w:val="single" w:sz="4" w:space="0" w:color="95B3D7"/>
              <w:bottom w:val="single" w:sz="4" w:space="0" w:color="95B3D7"/>
              <w:right w:val="nil"/>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2018</w:t>
            </w:r>
          </w:p>
        </w:tc>
        <w:tc>
          <w:tcPr>
            <w:tcW w:w="1751" w:type="dxa"/>
            <w:tcBorders>
              <w:top w:val="single" w:sz="4" w:space="0" w:color="95B3D7"/>
              <w:left w:val="nil"/>
              <w:bottom w:val="single" w:sz="4" w:space="0" w:color="95B3D7"/>
              <w:right w:val="nil"/>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21</w:t>
            </w:r>
          </w:p>
        </w:tc>
        <w:tc>
          <w:tcPr>
            <w:tcW w:w="1764" w:type="dxa"/>
            <w:tcBorders>
              <w:top w:val="single" w:sz="4" w:space="0" w:color="95B3D7"/>
              <w:left w:val="nil"/>
              <w:bottom w:val="single" w:sz="4" w:space="0" w:color="95B3D7"/>
              <w:right w:val="single" w:sz="4" w:space="0" w:color="95B3D7"/>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7.22</w:t>
            </w:r>
          </w:p>
        </w:tc>
      </w:tr>
      <w:tr w:rsidR="000520EA" w:rsidRPr="000520EA" w:rsidTr="000520EA">
        <w:trPr>
          <w:trHeight w:val="288"/>
        </w:trPr>
        <w:tc>
          <w:tcPr>
            <w:tcW w:w="799" w:type="dxa"/>
            <w:tcBorders>
              <w:top w:val="single" w:sz="4" w:space="0" w:color="95B3D7"/>
              <w:left w:val="single" w:sz="4" w:space="0" w:color="95B3D7"/>
              <w:bottom w:val="single" w:sz="4" w:space="0" w:color="95B3D7"/>
              <w:right w:val="nil"/>
            </w:tcBorders>
            <w:shd w:val="clear" w:color="auto" w:fill="auto"/>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2019</w:t>
            </w:r>
          </w:p>
        </w:tc>
        <w:tc>
          <w:tcPr>
            <w:tcW w:w="1751" w:type="dxa"/>
            <w:tcBorders>
              <w:top w:val="single" w:sz="4" w:space="0" w:color="95B3D7"/>
              <w:left w:val="nil"/>
              <w:bottom w:val="single" w:sz="4" w:space="0" w:color="95B3D7"/>
              <w:right w:val="nil"/>
            </w:tcBorders>
            <w:shd w:val="clear" w:color="auto" w:fill="auto"/>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20.7</w:t>
            </w:r>
          </w:p>
        </w:tc>
        <w:tc>
          <w:tcPr>
            <w:tcW w:w="1764" w:type="dxa"/>
            <w:tcBorders>
              <w:top w:val="single" w:sz="4" w:space="0" w:color="95B3D7"/>
              <w:left w:val="nil"/>
              <w:bottom w:val="single" w:sz="4" w:space="0" w:color="95B3D7"/>
              <w:right w:val="single" w:sz="4" w:space="0" w:color="95B3D7"/>
            </w:tcBorders>
            <w:shd w:val="clear" w:color="auto" w:fill="auto"/>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-2.71</w:t>
            </w:r>
          </w:p>
        </w:tc>
      </w:tr>
      <w:tr w:rsidR="000520EA" w:rsidRPr="000520EA" w:rsidTr="000520EA">
        <w:trPr>
          <w:trHeight w:val="288"/>
        </w:trPr>
        <w:tc>
          <w:tcPr>
            <w:tcW w:w="799" w:type="dxa"/>
            <w:tcBorders>
              <w:top w:val="single" w:sz="4" w:space="0" w:color="95B3D7"/>
              <w:left w:val="single" w:sz="4" w:space="0" w:color="95B3D7"/>
              <w:bottom w:val="single" w:sz="4" w:space="0" w:color="95B3D7"/>
              <w:right w:val="nil"/>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2020</w:t>
            </w:r>
          </w:p>
        </w:tc>
        <w:tc>
          <w:tcPr>
            <w:tcW w:w="1751" w:type="dxa"/>
            <w:tcBorders>
              <w:top w:val="single" w:sz="4" w:space="0" w:color="95B3D7"/>
              <w:left w:val="nil"/>
              <w:bottom w:val="single" w:sz="4" w:space="0" w:color="95B3D7"/>
              <w:right w:val="nil"/>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21.5</w:t>
            </w:r>
          </w:p>
        </w:tc>
        <w:tc>
          <w:tcPr>
            <w:tcW w:w="1764" w:type="dxa"/>
            <w:tcBorders>
              <w:top w:val="single" w:sz="4" w:space="0" w:color="95B3D7"/>
              <w:left w:val="nil"/>
              <w:bottom w:val="single" w:sz="4" w:space="0" w:color="95B3D7"/>
              <w:right w:val="single" w:sz="4" w:space="0" w:color="95B3D7"/>
            </w:tcBorders>
            <w:shd w:val="clear" w:color="DCE6F1" w:fill="DCE6F1"/>
            <w:noWrap/>
            <w:vAlign w:val="bottom"/>
            <w:hideMark/>
          </w:tcPr>
          <w:p w:rsidR="000520EA" w:rsidRPr="000520EA" w:rsidRDefault="000520EA" w:rsidP="000520EA">
            <w:pPr>
              <w:spacing w:after="0" w:line="240" w:lineRule="auto"/>
              <w:jc w:val="right"/>
              <w:rPr>
                <w:rFonts w:ascii="Calibri" w:eastAsia="Times New Roman" w:hAnsi="Calibri" w:cs="Calibri"/>
                <w:color w:val="000000"/>
              </w:rPr>
            </w:pPr>
            <w:r w:rsidRPr="000520EA">
              <w:rPr>
                <w:rFonts w:ascii="Calibri" w:eastAsia="Times New Roman" w:hAnsi="Calibri" w:cs="Calibri"/>
                <w:color w:val="000000"/>
              </w:rPr>
              <w:t>-8.48</w:t>
            </w:r>
          </w:p>
        </w:tc>
      </w:tr>
    </w:tbl>
    <w:p w:rsidR="000520EA" w:rsidRPr="00B65514" w:rsidRDefault="000520EA" w:rsidP="0062579A">
      <w:pPr>
        <w:rPr>
          <w:sz w:val="24"/>
        </w:rPr>
      </w:pPr>
    </w:p>
    <w:p w:rsidR="00F94C35" w:rsidRDefault="00835D8F" w:rsidP="00662122">
      <w:pPr>
        <w:rPr>
          <w:sz w:val="24"/>
        </w:rPr>
      </w:pPr>
      <w:r>
        <w:rPr>
          <w:noProof/>
        </w:rPr>
        <w:lastRenderedPageBreak/>
        <w:drawing>
          <wp:inline distT="0" distB="0" distL="0" distR="0" wp14:anchorId="5DEFF9FA" wp14:editId="2B276C8E">
            <wp:extent cx="6530340" cy="2743200"/>
            <wp:effectExtent l="0" t="0" r="2286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5D8F" w:rsidRDefault="00835D8F" w:rsidP="00835D8F">
      <w:pPr>
        <w:pStyle w:val="Heading3"/>
        <w:rPr>
          <w:sz w:val="32"/>
        </w:rPr>
      </w:pPr>
    </w:p>
    <w:p w:rsidR="00835D8F" w:rsidRDefault="00835D8F" w:rsidP="00835D8F">
      <w:pPr>
        <w:pStyle w:val="Heading3"/>
        <w:rPr>
          <w:sz w:val="32"/>
        </w:rPr>
      </w:pPr>
      <w:r>
        <w:rPr>
          <w:sz w:val="32"/>
        </w:rPr>
        <w:t>INDIA</w:t>
      </w:r>
    </w:p>
    <w:p w:rsidR="00835D8F" w:rsidRDefault="00DA73F2" w:rsidP="00835D8F">
      <w:pPr>
        <w:rPr>
          <w:sz w:val="24"/>
        </w:rPr>
      </w:pPr>
      <w:r>
        <w:rPr>
          <w:sz w:val="24"/>
        </w:rPr>
        <w:t>The GDP per capita for India in the year 2019 had been $2101 and the same in 2020 was expected to be $1929. Growth rates for this developing nation was 6.5 percent in 2018 to 4 percent in 2019 but witnessed a fall in 2020 by 8 percent. Although we didn’t see any gradual fall in mortality rates with respect to the nation. Mortality rates of India for these past years are mentioned on table below. India has although suffered from 513,481 deaths due to COVID: 19 but the mortality rate seem approximately same. This may mean that India’s mortality rate even before pandemic was quite high.</w:t>
      </w:r>
    </w:p>
    <w:tbl>
      <w:tblPr>
        <w:tblW w:w="4569" w:type="dxa"/>
        <w:tblInd w:w="2400" w:type="dxa"/>
        <w:tblLook w:val="04A0" w:firstRow="1" w:lastRow="0" w:firstColumn="1" w:lastColumn="0" w:noHBand="0" w:noVBand="1"/>
      </w:tblPr>
      <w:tblGrid>
        <w:gridCol w:w="695"/>
        <w:gridCol w:w="2078"/>
        <w:gridCol w:w="1796"/>
      </w:tblGrid>
      <w:tr w:rsidR="00DA73F2" w:rsidRPr="00DA73F2" w:rsidTr="00DA73F2">
        <w:trPr>
          <w:trHeight w:val="420"/>
        </w:trPr>
        <w:tc>
          <w:tcPr>
            <w:tcW w:w="4569" w:type="dxa"/>
            <w:gridSpan w:val="3"/>
            <w:tcBorders>
              <w:top w:val="nil"/>
              <w:left w:val="nil"/>
              <w:bottom w:val="nil"/>
              <w:right w:val="nil"/>
            </w:tcBorders>
            <w:shd w:val="clear" w:color="auto" w:fill="auto"/>
            <w:noWrap/>
            <w:vAlign w:val="bottom"/>
            <w:hideMark/>
          </w:tcPr>
          <w:p w:rsidR="00DA73F2" w:rsidRPr="00DA73F2" w:rsidRDefault="00DA73F2" w:rsidP="00DA73F2">
            <w:pPr>
              <w:spacing w:after="0" w:line="240" w:lineRule="auto"/>
              <w:jc w:val="center"/>
              <w:rPr>
                <w:rFonts w:ascii="Calibri" w:eastAsia="Times New Roman" w:hAnsi="Calibri" w:cs="Calibri"/>
                <w:color w:val="000000"/>
                <w:sz w:val="32"/>
                <w:szCs w:val="32"/>
              </w:rPr>
            </w:pPr>
            <w:r w:rsidRPr="00DA73F2">
              <w:rPr>
                <w:rFonts w:ascii="Calibri" w:eastAsia="Times New Roman" w:hAnsi="Calibri" w:cs="Calibri"/>
                <w:color w:val="000000"/>
                <w:sz w:val="32"/>
                <w:szCs w:val="32"/>
              </w:rPr>
              <w:t>INDIA</w:t>
            </w:r>
          </w:p>
        </w:tc>
      </w:tr>
      <w:tr w:rsidR="00DA73F2" w:rsidRPr="00DA73F2" w:rsidTr="00DA73F2">
        <w:trPr>
          <w:trHeight w:val="288"/>
        </w:trPr>
        <w:tc>
          <w:tcPr>
            <w:tcW w:w="695" w:type="dxa"/>
            <w:tcBorders>
              <w:top w:val="single" w:sz="4" w:space="0" w:color="95B3D7"/>
              <w:left w:val="single" w:sz="4" w:space="0" w:color="95B3D7"/>
              <w:bottom w:val="single" w:sz="4" w:space="0" w:color="95B3D7"/>
              <w:right w:val="nil"/>
            </w:tcBorders>
            <w:shd w:val="clear" w:color="4F81BD" w:fill="4F81BD"/>
            <w:noWrap/>
            <w:vAlign w:val="bottom"/>
            <w:hideMark/>
          </w:tcPr>
          <w:p w:rsidR="00DA73F2" w:rsidRPr="00DA73F2" w:rsidRDefault="00DA73F2" w:rsidP="00DA73F2">
            <w:pPr>
              <w:spacing w:after="0" w:line="240" w:lineRule="auto"/>
              <w:rPr>
                <w:rFonts w:ascii="Calibri" w:eastAsia="Times New Roman" w:hAnsi="Calibri" w:cs="Calibri"/>
                <w:b/>
                <w:bCs/>
                <w:color w:val="FFFFFF"/>
              </w:rPr>
            </w:pPr>
            <w:r w:rsidRPr="00DA73F2">
              <w:rPr>
                <w:rFonts w:ascii="Calibri" w:eastAsia="Times New Roman" w:hAnsi="Calibri" w:cs="Calibri"/>
                <w:b/>
                <w:bCs/>
                <w:color w:val="FFFFFF"/>
              </w:rPr>
              <w:t>YEAR</w:t>
            </w:r>
          </w:p>
        </w:tc>
        <w:tc>
          <w:tcPr>
            <w:tcW w:w="2078" w:type="dxa"/>
            <w:tcBorders>
              <w:top w:val="single" w:sz="4" w:space="0" w:color="95B3D7"/>
              <w:left w:val="nil"/>
              <w:bottom w:val="single" w:sz="4" w:space="0" w:color="95B3D7"/>
              <w:right w:val="nil"/>
            </w:tcBorders>
            <w:shd w:val="clear" w:color="4F81BD" w:fill="4F81BD"/>
            <w:noWrap/>
            <w:vAlign w:val="bottom"/>
            <w:hideMark/>
          </w:tcPr>
          <w:p w:rsidR="00DA73F2" w:rsidRPr="00DA73F2" w:rsidRDefault="00DA73F2" w:rsidP="00DA73F2">
            <w:pPr>
              <w:spacing w:after="0" w:line="240" w:lineRule="auto"/>
              <w:rPr>
                <w:rFonts w:ascii="Calibri" w:eastAsia="Times New Roman" w:hAnsi="Calibri" w:cs="Calibri"/>
                <w:b/>
                <w:bCs/>
                <w:color w:val="FFFFFF"/>
              </w:rPr>
            </w:pPr>
            <w:r w:rsidRPr="00DA73F2">
              <w:rPr>
                <w:rFonts w:ascii="Calibri" w:eastAsia="Times New Roman" w:hAnsi="Calibri" w:cs="Calibri"/>
                <w:b/>
                <w:bCs/>
                <w:color w:val="FFFFFF"/>
              </w:rPr>
              <w:t>MORTALITY RATE</w:t>
            </w:r>
          </w:p>
        </w:tc>
        <w:tc>
          <w:tcPr>
            <w:tcW w:w="1796" w:type="dxa"/>
            <w:tcBorders>
              <w:top w:val="single" w:sz="4" w:space="0" w:color="95B3D7"/>
              <w:left w:val="nil"/>
              <w:bottom w:val="single" w:sz="4" w:space="0" w:color="95B3D7"/>
              <w:right w:val="single" w:sz="4" w:space="0" w:color="95B3D7"/>
            </w:tcBorders>
            <w:shd w:val="clear" w:color="4F81BD" w:fill="4F81BD"/>
            <w:noWrap/>
            <w:vAlign w:val="bottom"/>
            <w:hideMark/>
          </w:tcPr>
          <w:p w:rsidR="00DA73F2" w:rsidRPr="00DA73F2" w:rsidRDefault="00DA73F2" w:rsidP="00DA73F2">
            <w:pPr>
              <w:spacing w:after="0" w:line="240" w:lineRule="auto"/>
              <w:rPr>
                <w:rFonts w:ascii="Calibri" w:eastAsia="Times New Roman" w:hAnsi="Calibri" w:cs="Calibri"/>
                <w:b/>
                <w:bCs/>
                <w:color w:val="FFFFFF"/>
              </w:rPr>
            </w:pPr>
            <w:r w:rsidRPr="00DA73F2">
              <w:rPr>
                <w:rFonts w:ascii="Calibri" w:eastAsia="Times New Roman" w:hAnsi="Calibri" w:cs="Calibri"/>
                <w:b/>
                <w:bCs/>
                <w:color w:val="FFFFFF"/>
              </w:rPr>
              <w:t>GROWTH RATE</w:t>
            </w:r>
          </w:p>
        </w:tc>
      </w:tr>
      <w:tr w:rsidR="00DA73F2" w:rsidRPr="00DA73F2" w:rsidTr="00DA73F2">
        <w:trPr>
          <w:trHeight w:val="288"/>
        </w:trPr>
        <w:tc>
          <w:tcPr>
            <w:tcW w:w="695" w:type="dxa"/>
            <w:tcBorders>
              <w:top w:val="single" w:sz="4" w:space="0" w:color="95B3D7"/>
              <w:left w:val="single" w:sz="4" w:space="0" w:color="95B3D7"/>
              <w:bottom w:val="single" w:sz="4" w:space="0" w:color="95B3D7"/>
              <w:right w:val="nil"/>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2018</w:t>
            </w:r>
          </w:p>
        </w:tc>
        <w:tc>
          <w:tcPr>
            <w:tcW w:w="2078" w:type="dxa"/>
            <w:tcBorders>
              <w:top w:val="single" w:sz="4" w:space="0" w:color="95B3D7"/>
              <w:left w:val="nil"/>
              <w:bottom w:val="single" w:sz="4" w:space="0" w:color="95B3D7"/>
              <w:right w:val="nil"/>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7.3</w:t>
            </w:r>
          </w:p>
        </w:tc>
        <w:tc>
          <w:tcPr>
            <w:tcW w:w="1796" w:type="dxa"/>
            <w:tcBorders>
              <w:top w:val="single" w:sz="4" w:space="0" w:color="95B3D7"/>
              <w:left w:val="nil"/>
              <w:bottom w:val="single" w:sz="4" w:space="0" w:color="95B3D7"/>
              <w:right w:val="single" w:sz="4" w:space="0" w:color="95B3D7"/>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6.5</w:t>
            </w:r>
          </w:p>
        </w:tc>
      </w:tr>
      <w:tr w:rsidR="00DA73F2" w:rsidRPr="00DA73F2" w:rsidTr="00DA73F2">
        <w:trPr>
          <w:trHeight w:val="288"/>
        </w:trPr>
        <w:tc>
          <w:tcPr>
            <w:tcW w:w="695" w:type="dxa"/>
            <w:tcBorders>
              <w:top w:val="single" w:sz="4" w:space="0" w:color="95B3D7"/>
              <w:left w:val="single" w:sz="4" w:space="0" w:color="95B3D7"/>
              <w:bottom w:val="single" w:sz="4" w:space="0" w:color="95B3D7"/>
              <w:right w:val="nil"/>
            </w:tcBorders>
            <w:shd w:val="clear" w:color="auto" w:fill="auto"/>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2019</w:t>
            </w:r>
          </w:p>
        </w:tc>
        <w:tc>
          <w:tcPr>
            <w:tcW w:w="2078" w:type="dxa"/>
            <w:tcBorders>
              <w:top w:val="single" w:sz="4" w:space="0" w:color="95B3D7"/>
              <w:left w:val="nil"/>
              <w:bottom w:val="single" w:sz="4" w:space="0" w:color="95B3D7"/>
              <w:right w:val="nil"/>
            </w:tcBorders>
            <w:shd w:val="clear" w:color="auto" w:fill="auto"/>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7.27</w:t>
            </w:r>
          </w:p>
        </w:tc>
        <w:tc>
          <w:tcPr>
            <w:tcW w:w="1796" w:type="dxa"/>
            <w:tcBorders>
              <w:top w:val="single" w:sz="4" w:space="0" w:color="95B3D7"/>
              <w:left w:val="nil"/>
              <w:bottom w:val="single" w:sz="4" w:space="0" w:color="95B3D7"/>
              <w:right w:val="single" w:sz="4" w:space="0" w:color="95B3D7"/>
            </w:tcBorders>
            <w:shd w:val="clear" w:color="auto" w:fill="auto"/>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4</w:t>
            </w:r>
          </w:p>
        </w:tc>
      </w:tr>
      <w:tr w:rsidR="00DA73F2" w:rsidRPr="00DA73F2" w:rsidTr="00DA73F2">
        <w:trPr>
          <w:trHeight w:val="288"/>
        </w:trPr>
        <w:tc>
          <w:tcPr>
            <w:tcW w:w="695" w:type="dxa"/>
            <w:tcBorders>
              <w:top w:val="single" w:sz="4" w:space="0" w:color="95B3D7"/>
              <w:left w:val="single" w:sz="4" w:space="0" w:color="95B3D7"/>
              <w:bottom w:val="single" w:sz="4" w:space="0" w:color="95B3D7"/>
              <w:right w:val="nil"/>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2020</w:t>
            </w:r>
          </w:p>
        </w:tc>
        <w:tc>
          <w:tcPr>
            <w:tcW w:w="2078" w:type="dxa"/>
            <w:tcBorders>
              <w:top w:val="single" w:sz="4" w:space="0" w:color="95B3D7"/>
              <w:left w:val="nil"/>
              <w:bottom w:val="single" w:sz="4" w:space="0" w:color="95B3D7"/>
              <w:right w:val="nil"/>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7.23</w:t>
            </w:r>
          </w:p>
        </w:tc>
        <w:tc>
          <w:tcPr>
            <w:tcW w:w="1796" w:type="dxa"/>
            <w:tcBorders>
              <w:top w:val="single" w:sz="4" w:space="0" w:color="95B3D7"/>
              <w:left w:val="nil"/>
              <w:bottom w:val="single" w:sz="4" w:space="0" w:color="95B3D7"/>
              <w:right w:val="single" w:sz="4" w:space="0" w:color="95B3D7"/>
            </w:tcBorders>
            <w:shd w:val="clear" w:color="DCE6F1" w:fill="DCE6F1"/>
            <w:noWrap/>
            <w:vAlign w:val="bottom"/>
            <w:hideMark/>
          </w:tcPr>
          <w:p w:rsidR="00DA73F2" w:rsidRPr="00DA73F2" w:rsidRDefault="00DA73F2" w:rsidP="00DA73F2">
            <w:pPr>
              <w:spacing w:after="0" w:line="240" w:lineRule="auto"/>
              <w:jc w:val="right"/>
              <w:rPr>
                <w:rFonts w:ascii="Calibri" w:eastAsia="Times New Roman" w:hAnsi="Calibri" w:cs="Calibri"/>
                <w:color w:val="000000"/>
              </w:rPr>
            </w:pPr>
            <w:r w:rsidRPr="00DA73F2">
              <w:rPr>
                <w:rFonts w:ascii="Calibri" w:eastAsia="Times New Roman" w:hAnsi="Calibri" w:cs="Calibri"/>
                <w:color w:val="000000"/>
              </w:rPr>
              <w:t>-8</w:t>
            </w:r>
          </w:p>
        </w:tc>
      </w:tr>
    </w:tbl>
    <w:p w:rsidR="00DA73F2" w:rsidRPr="00835D8F" w:rsidRDefault="00DA73F2" w:rsidP="00835D8F">
      <w:pPr>
        <w:rPr>
          <w:sz w:val="24"/>
        </w:rPr>
      </w:pPr>
    </w:p>
    <w:p w:rsidR="00835D8F" w:rsidRDefault="00DA73F2" w:rsidP="00835D8F">
      <w:r>
        <w:rPr>
          <w:noProof/>
        </w:rPr>
        <w:lastRenderedPageBreak/>
        <w:drawing>
          <wp:inline distT="0" distB="0" distL="0" distR="0" wp14:anchorId="30551D94" wp14:editId="15E7FEB3">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4C35" w:rsidRDefault="00356455" w:rsidP="00662122">
      <w:pPr>
        <w:rPr>
          <w:sz w:val="24"/>
        </w:rPr>
      </w:pPr>
      <w:r w:rsidRPr="00356455">
        <w:rPr>
          <w:sz w:val="24"/>
        </w:rPr>
        <w:t>Poverty rate o</w:t>
      </w:r>
      <w:r>
        <w:rPr>
          <w:sz w:val="24"/>
        </w:rPr>
        <w:t>f India has affected the most by COVID: 19. India is a country of income inequality from the very starting this rise in poverty has even increased this gap for Indians and will thus impact the development of the nation which is seen in the chart and the table below.</w:t>
      </w:r>
    </w:p>
    <w:tbl>
      <w:tblPr>
        <w:tblW w:w="4320" w:type="dxa"/>
        <w:tblInd w:w="2526" w:type="dxa"/>
        <w:tblLook w:val="04A0" w:firstRow="1" w:lastRow="0" w:firstColumn="1" w:lastColumn="0" w:noHBand="0" w:noVBand="1"/>
      </w:tblPr>
      <w:tblGrid>
        <w:gridCol w:w="695"/>
        <w:gridCol w:w="1806"/>
        <w:gridCol w:w="1819"/>
      </w:tblGrid>
      <w:tr w:rsidR="00356455" w:rsidRPr="00356455" w:rsidTr="00356455">
        <w:trPr>
          <w:trHeight w:val="420"/>
        </w:trPr>
        <w:tc>
          <w:tcPr>
            <w:tcW w:w="4320" w:type="dxa"/>
            <w:gridSpan w:val="3"/>
            <w:tcBorders>
              <w:top w:val="nil"/>
              <w:left w:val="nil"/>
              <w:bottom w:val="nil"/>
              <w:right w:val="nil"/>
            </w:tcBorders>
            <w:shd w:val="clear" w:color="auto" w:fill="auto"/>
            <w:noWrap/>
            <w:vAlign w:val="bottom"/>
            <w:hideMark/>
          </w:tcPr>
          <w:p w:rsidR="00356455" w:rsidRPr="00356455" w:rsidRDefault="00356455" w:rsidP="00356455">
            <w:pPr>
              <w:spacing w:after="0" w:line="240" w:lineRule="auto"/>
              <w:jc w:val="center"/>
              <w:rPr>
                <w:rFonts w:ascii="Calibri" w:eastAsia="Times New Roman" w:hAnsi="Calibri" w:cs="Calibri"/>
                <w:color w:val="000000"/>
                <w:sz w:val="32"/>
                <w:szCs w:val="32"/>
              </w:rPr>
            </w:pPr>
            <w:r w:rsidRPr="00356455">
              <w:rPr>
                <w:rFonts w:ascii="Calibri" w:eastAsia="Times New Roman" w:hAnsi="Calibri" w:cs="Calibri"/>
                <w:color w:val="000000"/>
                <w:sz w:val="32"/>
                <w:szCs w:val="32"/>
              </w:rPr>
              <w:t>INDIA</w:t>
            </w:r>
          </w:p>
        </w:tc>
      </w:tr>
      <w:tr w:rsidR="00356455" w:rsidRPr="00356455" w:rsidTr="00356455">
        <w:trPr>
          <w:trHeight w:val="288"/>
        </w:trPr>
        <w:tc>
          <w:tcPr>
            <w:tcW w:w="695" w:type="dxa"/>
            <w:tcBorders>
              <w:top w:val="single" w:sz="4" w:space="0" w:color="95B3D7"/>
              <w:left w:val="single" w:sz="4" w:space="0" w:color="95B3D7"/>
              <w:bottom w:val="single" w:sz="4" w:space="0" w:color="95B3D7"/>
              <w:right w:val="nil"/>
            </w:tcBorders>
            <w:shd w:val="clear" w:color="4F81BD" w:fill="4F81BD"/>
            <w:noWrap/>
            <w:vAlign w:val="bottom"/>
            <w:hideMark/>
          </w:tcPr>
          <w:p w:rsidR="00356455" w:rsidRPr="00356455" w:rsidRDefault="00356455" w:rsidP="00356455">
            <w:pPr>
              <w:spacing w:after="0" w:line="240" w:lineRule="auto"/>
              <w:rPr>
                <w:rFonts w:ascii="Calibri" w:eastAsia="Times New Roman" w:hAnsi="Calibri" w:cs="Calibri"/>
                <w:b/>
                <w:bCs/>
                <w:color w:val="FFFFFF"/>
              </w:rPr>
            </w:pPr>
            <w:r w:rsidRPr="00356455">
              <w:rPr>
                <w:rFonts w:ascii="Calibri" w:eastAsia="Times New Roman" w:hAnsi="Calibri" w:cs="Calibri"/>
                <w:b/>
                <w:bCs/>
                <w:color w:val="FFFFFF"/>
              </w:rPr>
              <w:t>YEAR</w:t>
            </w:r>
          </w:p>
        </w:tc>
        <w:tc>
          <w:tcPr>
            <w:tcW w:w="1806" w:type="dxa"/>
            <w:tcBorders>
              <w:top w:val="single" w:sz="4" w:space="0" w:color="95B3D7"/>
              <w:left w:val="nil"/>
              <w:bottom w:val="single" w:sz="4" w:space="0" w:color="95B3D7"/>
              <w:right w:val="nil"/>
            </w:tcBorders>
            <w:shd w:val="clear" w:color="4F81BD" w:fill="4F81BD"/>
            <w:noWrap/>
            <w:vAlign w:val="bottom"/>
            <w:hideMark/>
          </w:tcPr>
          <w:p w:rsidR="00356455" w:rsidRPr="00356455" w:rsidRDefault="00356455" w:rsidP="00356455">
            <w:pPr>
              <w:spacing w:after="0" w:line="240" w:lineRule="auto"/>
              <w:rPr>
                <w:rFonts w:ascii="Calibri" w:eastAsia="Times New Roman" w:hAnsi="Calibri" w:cs="Calibri"/>
                <w:b/>
                <w:bCs/>
                <w:color w:val="FFFFFF"/>
              </w:rPr>
            </w:pPr>
            <w:r w:rsidRPr="00356455">
              <w:rPr>
                <w:rFonts w:ascii="Calibri" w:eastAsia="Times New Roman" w:hAnsi="Calibri" w:cs="Calibri"/>
                <w:b/>
                <w:bCs/>
                <w:color w:val="FFFFFF"/>
              </w:rPr>
              <w:t>POVERTY RATE</w:t>
            </w:r>
          </w:p>
        </w:tc>
        <w:tc>
          <w:tcPr>
            <w:tcW w:w="1819" w:type="dxa"/>
            <w:tcBorders>
              <w:top w:val="single" w:sz="4" w:space="0" w:color="95B3D7"/>
              <w:left w:val="nil"/>
              <w:bottom w:val="single" w:sz="4" w:space="0" w:color="95B3D7"/>
              <w:right w:val="single" w:sz="4" w:space="0" w:color="95B3D7"/>
            </w:tcBorders>
            <w:shd w:val="clear" w:color="4F81BD" w:fill="4F81BD"/>
            <w:noWrap/>
            <w:vAlign w:val="bottom"/>
            <w:hideMark/>
          </w:tcPr>
          <w:p w:rsidR="00356455" w:rsidRPr="00356455" w:rsidRDefault="00356455" w:rsidP="00356455">
            <w:pPr>
              <w:spacing w:after="0" w:line="240" w:lineRule="auto"/>
              <w:rPr>
                <w:rFonts w:ascii="Calibri" w:eastAsia="Times New Roman" w:hAnsi="Calibri" w:cs="Calibri"/>
                <w:b/>
                <w:bCs/>
                <w:color w:val="FFFFFF"/>
              </w:rPr>
            </w:pPr>
            <w:r w:rsidRPr="00356455">
              <w:rPr>
                <w:rFonts w:ascii="Calibri" w:eastAsia="Times New Roman" w:hAnsi="Calibri" w:cs="Calibri"/>
                <w:b/>
                <w:bCs/>
                <w:color w:val="FFFFFF"/>
              </w:rPr>
              <w:t>GROWTH RATE</w:t>
            </w:r>
          </w:p>
        </w:tc>
      </w:tr>
      <w:tr w:rsidR="00356455" w:rsidRPr="00356455" w:rsidTr="00356455">
        <w:trPr>
          <w:trHeight w:val="288"/>
        </w:trPr>
        <w:tc>
          <w:tcPr>
            <w:tcW w:w="695" w:type="dxa"/>
            <w:tcBorders>
              <w:top w:val="single" w:sz="4" w:space="0" w:color="95B3D7"/>
              <w:left w:val="single" w:sz="4" w:space="0" w:color="95B3D7"/>
              <w:bottom w:val="single" w:sz="4" w:space="0" w:color="95B3D7"/>
              <w:right w:val="nil"/>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2018</w:t>
            </w:r>
          </w:p>
        </w:tc>
        <w:tc>
          <w:tcPr>
            <w:tcW w:w="1806" w:type="dxa"/>
            <w:tcBorders>
              <w:top w:val="single" w:sz="4" w:space="0" w:color="95B3D7"/>
              <w:left w:val="nil"/>
              <w:bottom w:val="single" w:sz="4" w:space="0" w:color="95B3D7"/>
              <w:right w:val="nil"/>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6.9</w:t>
            </w:r>
          </w:p>
        </w:tc>
        <w:tc>
          <w:tcPr>
            <w:tcW w:w="1819" w:type="dxa"/>
            <w:tcBorders>
              <w:top w:val="single" w:sz="4" w:space="0" w:color="95B3D7"/>
              <w:left w:val="nil"/>
              <w:bottom w:val="single" w:sz="4" w:space="0" w:color="95B3D7"/>
              <w:right w:val="single" w:sz="4" w:space="0" w:color="95B3D7"/>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6.5</w:t>
            </w:r>
          </w:p>
        </w:tc>
      </w:tr>
      <w:tr w:rsidR="00356455" w:rsidRPr="00356455" w:rsidTr="00356455">
        <w:trPr>
          <w:trHeight w:val="288"/>
        </w:trPr>
        <w:tc>
          <w:tcPr>
            <w:tcW w:w="695" w:type="dxa"/>
            <w:tcBorders>
              <w:top w:val="single" w:sz="4" w:space="0" w:color="95B3D7"/>
              <w:left w:val="single" w:sz="4" w:space="0" w:color="95B3D7"/>
              <w:bottom w:val="single" w:sz="4" w:space="0" w:color="95B3D7"/>
              <w:right w:val="nil"/>
            </w:tcBorders>
            <w:shd w:val="clear" w:color="auto" w:fill="auto"/>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2019</w:t>
            </w:r>
          </w:p>
        </w:tc>
        <w:tc>
          <w:tcPr>
            <w:tcW w:w="1806" w:type="dxa"/>
            <w:tcBorders>
              <w:top w:val="single" w:sz="4" w:space="0" w:color="95B3D7"/>
              <w:left w:val="nil"/>
              <w:bottom w:val="single" w:sz="4" w:space="0" w:color="95B3D7"/>
              <w:right w:val="nil"/>
            </w:tcBorders>
            <w:shd w:val="clear" w:color="auto" w:fill="auto"/>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6.7</w:t>
            </w:r>
          </w:p>
        </w:tc>
        <w:tc>
          <w:tcPr>
            <w:tcW w:w="1819" w:type="dxa"/>
            <w:tcBorders>
              <w:top w:val="single" w:sz="4" w:space="0" w:color="95B3D7"/>
              <w:left w:val="nil"/>
              <w:bottom w:val="single" w:sz="4" w:space="0" w:color="95B3D7"/>
              <w:right w:val="single" w:sz="4" w:space="0" w:color="95B3D7"/>
            </w:tcBorders>
            <w:shd w:val="clear" w:color="auto" w:fill="auto"/>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4</w:t>
            </w:r>
          </w:p>
        </w:tc>
      </w:tr>
      <w:tr w:rsidR="00356455" w:rsidRPr="00356455" w:rsidTr="00356455">
        <w:trPr>
          <w:trHeight w:val="288"/>
        </w:trPr>
        <w:tc>
          <w:tcPr>
            <w:tcW w:w="695" w:type="dxa"/>
            <w:tcBorders>
              <w:top w:val="single" w:sz="4" w:space="0" w:color="95B3D7"/>
              <w:left w:val="single" w:sz="4" w:space="0" w:color="95B3D7"/>
              <w:bottom w:val="single" w:sz="4" w:space="0" w:color="95B3D7"/>
              <w:right w:val="nil"/>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2020</w:t>
            </w:r>
          </w:p>
        </w:tc>
        <w:tc>
          <w:tcPr>
            <w:tcW w:w="1806" w:type="dxa"/>
            <w:tcBorders>
              <w:top w:val="single" w:sz="4" w:space="0" w:color="95B3D7"/>
              <w:left w:val="nil"/>
              <w:bottom w:val="single" w:sz="4" w:space="0" w:color="95B3D7"/>
              <w:right w:val="nil"/>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20.8</w:t>
            </w:r>
          </w:p>
        </w:tc>
        <w:tc>
          <w:tcPr>
            <w:tcW w:w="1819" w:type="dxa"/>
            <w:tcBorders>
              <w:top w:val="single" w:sz="4" w:space="0" w:color="95B3D7"/>
              <w:left w:val="nil"/>
              <w:bottom w:val="single" w:sz="4" w:space="0" w:color="95B3D7"/>
              <w:right w:val="single" w:sz="4" w:space="0" w:color="95B3D7"/>
            </w:tcBorders>
            <w:shd w:val="clear" w:color="DCE6F1" w:fill="DCE6F1"/>
            <w:noWrap/>
            <w:vAlign w:val="bottom"/>
            <w:hideMark/>
          </w:tcPr>
          <w:p w:rsidR="00356455" w:rsidRPr="00356455" w:rsidRDefault="00356455" w:rsidP="00356455">
            <w:pPr>
              <w:spacing w:after="0" w:line="240" w:lineRule="auto"/>
              <w:jc w:val="right"/>
              <w:rPr>
                <w:rFonts w:ascii="Calibri" w:eastAsia="Times New Roman" w:hAnsi="Calibri" w:cs="Calibri"/>
                <w:color w:val="000000"/>
              </w:rPr>
            </w:pPr>
            <w:r w:rsidRPr="00356455">
              <w:rPr>
                <w:rFonts w:ascii="Calibri" w:eastAsia="Times New Roman" w:hAnsi="Calibri" w:cs="Calibri"/>
                <w:color w:val="000000"/>
              </w:rPr>
              <w:t>-8</w:t>
            </w:r>
          </w:p>
        </w:tc>
      </w:tr>
    </w:tbl>
    <w:p w:rsidR="00356455" w:rsidRDefault="00356455" w:rsidP="00662122">
      <w:pPr>
        <w:rPr>
          <w:sz w:val="24"/>
        </w:rPr>
      </w:pPr>
    </w:p>
    <w:p w:rsidR="00F94C35" w:rsidRDefault="00356455" w:rsidP="00662122">
      <w:pPr>
        <w:rPr>
          <w:sz w:val="24"/>
        </w:rPr>
      </w:pPr>
      <w:r>
        <w:rPr>
          <w:noProof/>
        </w:rPr>
        <w:drawing>
          <wp:inline distT="0" distB="0" distL="0" distR="0" wp14:anchorId="4F6D1164" wp14:editId="2A22D7C4">
            <wp:extent cx="6614160" cy="2743200"/>
            <wp:effectExtent l="0" t="0" r="1524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E578B" w:rsidRDefault="006E578B" w:rsidP="00662122">
      <w:pPr>
        <w:rPr>
          <w:sz w:val="24"/>
        </w:rPr>
      </w:pPr>
    </w:p>
    <w:p w:rsidR="006E578B" w:rsidRDefault="00BF0248" w:rsidP="00662122">
      <w:pPr>
        <w:rPr>
          <w:sz w:val="24"/>
        </w:rPr>
      </w:pPr>
      <w:r w:rsidRPr="00464F54">
        <w:rPr>
          <w:sz w:val="24"/>
        </w:rPr>
        <w:lastRenderedPageBreak/>
        <w:t>Negative i</w:t>
      </w:r>
      <w:r w:rsidR="006E578B" w:rsidRPr="00464F54">
        <w:rPr>
          <w:sz w:val="24"/>
        </w:rPr>
        <w:t xml:space="preserve">mpact of inequality and poverty work side by side in effecting economic growth. Any one of them working distinctively does not have significant impact on economic growth. We have seen in our analysis that countries while suffering through pandemic has </w:t>
      </w:r>
      <w:r w:rsidRPr="00464F54">
        <w:rPr>
          <w:sz w:val="24"/>
        </w:rPr>
        <w:t>gone through some major poverty effects as well as inequality effects</w:t>
      </w:r>
      <w:r w:rsidR="00237197" w:rsidRPr="00464F54">
        <w:rPr>
          <w:sz w:val="24"/>
        </w:rPr>
        <w:t>.</w:t>
      </w:r>
      <w:r w:rsidRPr="00464F54">
        <w:rPr>
          <w:sz w:val="24"/>
        </w:rPr>
        <w:t xml:space="preserve"> It has been seen in many publications before that economist tend to focus on inequality more than</w:t>
      </w:r>
      <w:r w:rsidR="008D23CD" w:rsidRPr="00464F54">
        <w:rPr>
          <w:sz w:val="24"/>
        </w:rPr>
        <w:t xml:space="preserve"> they do</w:t>
      </w:r>
      <w:r w:rsidRPr="00464F54">
        <w:rPr>
          <w:sz w:val="24"/>
        </w:rPr>
        <w:t xml:space="preserve"> on poverty while addressing the question of growth.</w:t>
      </w:r>
      <w:r w:rsidR="006E578B" w:rsidRPr="00464F54">
        <w:rPr>
          <w:sz w:val="24"/>
        </w:rPr>
        <w:t xml:space="preserve"> </w:t>
      </w:r>
      <w:r w:rsidR="008D23CD" w:rsidRPr="00464F54">
        <w:rPr>
          <w:sz w:val="24"/>
        </w:rPr>
        <w:t xml:space="preserve">It had been argues that due to income inequality in a nation people under the weaker section of inequality tend to provide under investment in sectors like education, healthcare and physical capital thus under investment in both human and physical capital tend to lower growth. But it had been counter argued that under investment is an outcome of lack of resources and not of </w:t>
      </w:r>
      <w:r w:rsidR="00E72106" w:rsidRPr="00464F54">
        <w:rPr>
          <w:sz w:val="24"/>
        </w:rPr>
        <w:t>inequality. Mortality increase on the other hand as a result of pandemic showers the same impact on growth. Increase in mortalities takes away people which were human capital indeed.</w:t>
      </w:r>
      <w:r w:rsidR="00464F54">
        <w:rPr>
          <w:sz w:val="24"/>
        </w:rPr>
        <w:t xml:space="preserve"> Inequality impacts human capital as well due to lack of investment on essential areas (</w:t>
      </w:r>
      <w:r w:rsidR="00464F54" w:rsidRPr="00464F54">
        <w:rPr>
          <w:sz w:val="24"/>
        </w:rPr>
        <w:t>Cingano</w:t>
      </w:r>
      <w:r w:rsidR="00464F54">
        <w:t xml:space="preserve"> (2014))</w:t>
      </w:r>
      <w:r w:rsidR="00E72106" w:rsidRPr="00464F54">
        <w:rPr>
          <w:sz w:val="24"/>
        </w:rPr>
        <w:t xml:space="preserve"> Thus lack of human capital has its negative impacts of economic growth as well.</w:t>
      </w:r>
      <w:r w:rsidR="00EF5F38" w:rsidRPr="00464F54">
        <w:rPr>
          <w:sz w:val="24"/>
        </w:rPr>
        <w:t xml:space="preserve"> Solow in his model has shown the significance of human capital by bringing it in production functions. He has also shown efficiency a tool to achieve increasing growth but when inequality, poverty and mortality strikes and lead to under investment in some vital sectors it can be seen how that consequence has an impact on economic growth. </w:t>
      </w:r>
      <w:r w:rsidR="00464F54" w:rsidRPr="00464F54">
        <w:rPr>
          <w:sz w:val="24"/>
        </w:rPr>
        <w:t xml:space="preserve">Robert and Omer in their writings </w:t>
      </w:r>
      <w:r w:rsidR="00464F54" w:rsidRPr="00464F54">
        <w:rPr>
          <w:sz w:val="28"/>
        </w:rPr>
        <w:t>(</w:t>
      </w:r>
      <w:r w:rsidR="00464F54" w:rsidRPr="00464F54">
        <w:rPr>
          <w:sz w:val="24"/>
        </w:rPr>
        <w:t xml:space="preserve">Inequality, poverty and economic growth) had mentioned about how negative </w:t>
      </w:r>
      <w:r w:rsidR="00464F54">
        <w:rPr>
          <w:sz w:val="24"/>
        </w:rPr>
        <w:t xml:space="preserve">impact of inequality on economic growth is related to the incidence of poverty. When poverty of the nation is below 25 percent it has seen to be showing statistically insignificant negative impact of inequality on economic growth. </w:t>
      </w:r>
      <w:proofErr w:type="gramStart"/>
      <w:r w:rsidR="00464F54">
        <w:rPr>
          <w:sz w:val="24"/>
        </w:rPr>
        <w:t>Whereas as poverty rise the impact of inequality also tend to increase.</w:t>
      </w:r>
      <w:proofErr w:type="gramEnd"/>
    </w:p>
    <w:p w:rsidR="002710BA" w:rsidRDefault="002710BA" w:rsidP="00662122">
      <w:pPr>
        <w:rPr>
          <w:sz w:val="24"/>
        </w:rPr>
      </w:pPr>
      <w:r>
        <w:rPr>
          <w:sz w:val="24"/>
        </w:rPr>
        <w:t>In our example above of developing countries it is clearly visible and is feasible to say that mortality rates of these countries were not very much got affected by COVID: 19. But on the other hand growth rates had affected adversely for both the nations. So we move ahead and see if poverty increase has something to do with these changes. Poverty in India has increased by a greater magnitude which makes inequality in the country along with poverty t</w:t>
      </w:r>
      <w:r w:rsidR="002B2CB7">
        <w:rPr>
          <w:sz w:val="24"/>
        </w:rPr>
        <w:t>o drop I</w:t>
      </w:r>
      <w:r>
        <w:rPr>
          <w:sz w:val="24"/>
        </w:rPr>
        <w:t>ndia’s growth to fall. Although other developing country in this pa</w:t>
      </w:r>
      <w:r w:rsidR="002B2CB7">
        <w:rPr>
          <w:sz w:val="24"/>
        </w:rPr>
        <w:t>per is S</w:t>
      </w:r>
      <w:r>
        <w:rPr>
          <w:sz w:val="24"/>
        </w:rPr>
        <w:t xml:space="preserve">pain who had not shown </w:t>
      </w:r>
      <w:r w:rsidR="002B2CB7">
        <w:rPr>
          <w:sz w:val="24"/>
        </w:rPr>
        <w:t xml:space="preserve">much increase in mortalities (more from India) but again still have witnessed drop in growth. We thought of looking at our poverty aspect to come at any conclusion but there we see how in 2018 in Spain even at 21 percent of poverty growth was around at 7 percent but in 2020 due to pandemic though the poverty rate remained at 21.5 percent only growth rate faced a significant drop of negative 8.48 percent. It became difficult to come at a conclusion here in respect of this country. All we can argue is many other factors may be responsible for such fall in growth rate. It may be due to increase in inequality due to some political aristocrat’s influence. Also pandemic had also affected education sector due to changing the mode to online so lack of efficiency and productivity can also be the reason. Also Spain is country whose </w:t>
      </w:r>
      <w:r w:rsidR="002B2CB7">
        <w:rPr>
          <w:sz w:val="24"/>
        </w:rPr>
        <w:lastRenderedPageBreak/>
        <w:t xml:space="preserve">travelling revenue holds a bigger proportion in GDP it can be </w:t>
      </w:r>
      <w:r w:rsidR="00E722A9">
        <w:rPr>
          <w:sz w:val="24"/>
        </w:rPr>
        <w:t>said that extensive lockdowns and lack of tourists also affected Spain’s growth rate.</w:t>
      </w:r>
    </w:p>
    <w:p w:rsidR="00E722A9" w:rsidRDefault="00E722A9" w:rsidP="00662122">
      <w:pPr>
        <w:rPr>
          <w:sz w:val="24"/>
        </w:rPr>
      </w:pPr>
      <w:r>
        <w:rPr>
          <w:sz w:val="24"/>
        </w:rPr>
        <w:t>To talk about developed nations now let us start with England</w:t>
      </w:r>
      <w:r w:rsidR="00A41D49">
        <w:rPr>
          <w:sz w:val="24"/>
        </w:rPr>
        <w:t xml:space="preserve">. England has shown slight increases in mortalities but has still shown a greater downfall in growth rates. But on the other hand poverty rate of the nation had increased from the years 2018 to 2020 reaching the threshold where inequality would show significant negative impact on economic growth. Clearly it would be unwise to say that only this is the main reason for the nation’s fall in growth. Many other aspects off course like traveling revenue or lost efficiency in personnel has it’s impacts too but here in our analysis we can say increased poverty made inequality’s impact on growth highly significant. </w:t>
      </w:r>
      <w:r w:rsidR="00026403">
        <w:rPr>
          <w:sz w:val="24"/>
        </w:rPr>
        <w:t xml:space="preserve"> </w:t>
      </w:r>
    </w:p>
    <w:p w:rsidR="00026403" w:rsidRDefault="00026403" w:rsidP="00662122">
      <w:pPr>
        <w:rPr>
          <w:sz w:val="24"/>
        </w:rPr>
      </w:pPr>
      <w:r>
        <w:rPr>
          <w:sz w:val="24"/>
        </w:rPr>
        <w:t>Neither mortality rates nor poverty rates has shown much rise in respect of United States of America. The analysis we did for USA was from 2019-2021. Here the growth of United States of America showed negative results of growth only in 2020. But this paper’s analysis cannot say that this downfall for the year 2020 is because of those two factors that we have studied in our analysis. Clearly that one year downfall is due to many other aspects in which we are not looking in</w:t>
      </w:r>
      <w:r w:rsidR="009B10AB">
        <w:rPr>
          <w:sz w:val="24"/>
        </w:rPr>
        <w:t>to in</w:t>
      </w:r>
      <w:r>
        <w:rPr>
          <w:sz w:val="24"/>
        </w:rPr>
        <w:t xml:space="preserve"> this paper.</w:t>
      </w:r>
      <w:r w:rsidR="009B10AB">
        <w:rPr>
          <w:sz w:val="24"/>
        </w:rPr>
        <w:t xml:space="preserve"> It is impeccable to see how within a year United States of America was able to increase its growth rate into a positive number, which was astonishing. This result can be presumed to be the effect of USA being a</w:t>
      </w:r>
      <w:r w:rsidR="0007316B">
        <w:rPr>
          <w:sz w:val="24"/>
        </w:rPr>
        <w:t>n</w:t>
      </w:r>
      <w:r w:rsidR="009B10AB">
        <w:rPr>
          <w:sz w:val="24"/>
        </w:rPr>
        <w:t xml:space="preserve"> industrialization driven nation.</w:t>
      </w:r>
    </w:p>
    <w:p w:rsidR="0007316B" w:rsidRDefault="0007316B" w:rsidP="00662122">
      <w:pPr>
        <w:rPr>
          <w:sz w:val="24"/>
        </w:rPr>
      </w:pPr>
      <w:r>
        <w:rPr>
          <w:sz w:val="24"/>
        </w:rPr>
        <w:t>Now we are going to present the simultaneous tabular presentation and graphical representation for better understanding of our audience.</w:t>
      </w:r>
    </w:p>
    <w:p w:rsidR="0007316B" w:rsidRDefault="0007316B" w:rsidP="00662122">
      <w:pPr>
        <w:rPr>
          <w:sz w:val="24"/>
        </w:rPr>
      </w:pPr>
    </w:p>
    <w:tbl>
      <w:tblPr>
        <w:tblW w:w="8700" w:type="dxa"/>
        <w:tblInd w:w="93" w:type="dxa"/>
        <w:tblLook w:val="04A0" w:firstRow="1" w:lastRow="0" w:firstColumn="1" w:lastColumn="0" w:noHBand="0" w:noVBand="1"/>
      </w:tblPr>
      <w:tblGrid>
        <w:gridCol w:w="1334"/>
        <w:gridCol w:w="3898"/>
        <w:gridCol w:w="1656"/>
        <w:gridCol w:w="1855"/>
      </w:tblGrid>
      <w:tr w:rsidR="0007316B" w:rsidRPr="0007316B" w:rsidTr="0007316B">
        <w:trPr>
          <w:trHeight w:val="420"/>
        </w:trPr>
        <w:tc>
          <w:tcPr>
            <w:tcW w:w="8700" w:type="dxa"/>
            <w:gridSpan w:val="4"/>
            <w:tcBorders>
              <w:top w:val="nil"/>
              <w:left w:val="nil"/>
              <w:bottom w:val="nil"/>
              <w:right w:val="nil"/>
            </w:tcBorders>
            <w:shd w:val="clear" w:color="auto" w:fill="auto"/>
            <w:noWrap/>
            <w:vAlign w:val="bottom"/>
            <w:hideMark/>
          </w:tcPr>
          <w:p w:rsidR="0007316B" w:rsidRPr="0007316B" w:rsidRDefault="0007316B" w:rsidP="0007316B">
            <w:pPr>
              <w:spacing w:after="0" w:line="240" w:lineRule="auto"/>
              <w:jc w:val="center"/>
              <w:rPr>
                <w:rFonts w:ascii="Calibri" w:eastAsia="Times New Roman" w:hAnsi="Calibri" w:cs="Calibri"/>
                <w:color w:val="000000"/>
                <w:sz w:val="32"/>
                <w:szCs w:val="32"/>
              </w:rPr>
            </w:pPr>
            <w:r w:rsidRPr="0007316B">
              <w:rPr>
                <w:rFonts w:ascii="Calibri" w:eastAsia="Times New Roman" w:hAnsi="Calibri" w:cs="Calibri"/>
                <w:color w:val="000000"/>
                <w:sz w:val="32"/>
                <w:szCs w:val="32"/>
              </w:rPr>
              <w:t>YEAR 2020</w:t>
            </w:r>
          </w:p>
        </w:tc>
      </w:tr>
      <w:tr w:rsidR="0007316B" w:rsidRPr="0007316B" w:rsidTr="0007316B">
        <w:trPr>
          <w:trHeight w:val="360"/>
        </w:trPr>
        <w:tc>
          <w:tcPr>
            <w:tcW w:w="1291" w:type="dxa"/>
            <w:tcBorders>
              <w:top w:val="single" w:sz="4" w:space="0" w:color="95B3D7"/>
              <w:left w:val="single" w:sz="4" w:space="0" w:color="95B3D7"/>
              <w:bottom w:val="single" w:sz="4" w:space="0" w:color="95B3D7"/>
              <w:right w:val="nil"/>
            </w:tcBorders>
            <w:shd w:val="clear" w:color="4F81BD" w:fill="4F81BD"/>
            <w:noWrap/>
            <w:vAlign w:val="bottom"/>
            <w:hideMark/>
          </w:tcPr>
          <w:p w:rsidR="0007316B" w:rsidRPr="0007316B" w:rsidRDefault="0007316B" w:rsidP="0007316B">
            <w:pPr>
              <w:spacing w:after="0" w:line="240" w:lineRule="auto"/>
              <w:rPr>
                <w:rFonts w:ascii="Calibri" w:eastAsia="Times New Roman" w:hAnsi="Calibri" w:cs="Calibri"/>
                <w:b/>
                <w:bCs/>
                <w:color w:val="FFFFFF"/>
                <w:sz w:val="28"/>
                <w:szCs w:val="28"/>
              </w:rPr>
            </w:pPr>
            <w:r w:rsidRPr="0007316B">
              <w:rPr>
                <w:rFonts w:ascii="Calibri" w:eastAsia="Times New Roman" w:hAnsi="Calibri" w:cs="Calibri"/>
                <w:b/>
                <w:bCs/>
                <w:color w:val="FFFFFF"/>
                <w:sz w:val="28"/>
                <w:szCs w:val="28"/>
              </w:rPr>
              <w:t>Countries</w:t>
            </w:r>
          </w:p>
        </w:tc>
        <w:tc>
          <w:tcPr>
            <w:tcW w:w="3898" w:type="dxa"/>
            <w:tcBorders>
              <w:top w:val="single" w:sz="4" w:space="0" w:color="95B3D7"/>
              <w:left w:val="nil"/>
              <w:bottom w:val="single" w:sz="4" w:space="0" w:color="95B3D7"/>
              <w:right w:val="nil"/>
            </w:tcBorders>
            <w:shd w:val="clear" w:color="4F81BD" w:fill="4F81BD"/>
            <w:noWrap/>
            <w:vAlign w:val="bottom"/>
            <w:hideMark/>
          </w:tcPr>
          <w:p w:rsidR="0007316B" w:rsidRPr="0007316B" w:rsidRDefault="0007316B" w:rsidP="0007316B">
            <w:pPr>
              <w:spacing w:after="0" w:line="240" w:lineRule="auto"/>
              <w:rPr>
                <w:rFonts w:ascii="Calibri" w:eastAsia="Times New Roman" w:hAnsi="Calibri" w:cs="Calibri"/>
                <w:b/>
                <w:bCs/>
                <w:color w:val="FFFFFF"/>
                <w:sz w:val="28"/>
                <w:szCs w:val="28"/>
              </w:rPr>
            </w:pPr>
            <w:r w:rsidRPr="0007316B">
              <w:rPr>
                <w:rFonts w:ascii="Calibri" w:eastAsia="Times New Roman" w:hAnsi="Calibri" w:cs="Calibri"/>
                <w:b/>
                <w:bCs/>
                <w:color w:val="FFFFFF"/>
                <w:sz w:val="28"/>
                <w:szCs w:val="28"/>
              </w:rPr>
              <w:t>growth rate for the year 2020</w:t>
            </w:r>
          </w:p>
        </w:tc>
        <w:tc>
          <w:tcPr>
            <w:tcW w:w="1656" w:type="dxa"/>
            <w:tcBorders>
              <w:top w:val="single" w:sz="4" w:space="0" w:color="95B3D7"/>
              <w:left w:val="nil"/>
              <w:bottom w:val="single" w:sz="4" w:space="0" w:color="95B3D7"/>
              <w:right w:val="nil"/>
            </w:tcBorders>
            <w:shd w:val="clear" w:color="4F81BD" w:fill="4F81BD"/>
            <w:noWrap/>
            <w:vAlign w:val="bottom"/>
            <w:hideMark/>
          </w:tcPr>
          <w:p w:rsidR="0007316B" w:rsidRPr="0007316B" w:rsidRDefault="0007316B" w:rsidP="0007316B">
            <w:pPr>
              <w:spacing w:after="0" w:line="240" w:lineRule="auto"/>
              <w:rPr>
                <w:rFonts w:ascii="Calibri" w:eastAsia="Times New Roman" w:hAnsi="Calibri" w:cs="Calibri"/>
                <w:b/>
                <w:bCs/>
                <w:color w:val="FFFFFF"/>
                <w:sz w:val="28"/>
                <w:szCs w:val="28"/>
              </w:rPr>
            </w:pPr>
            <w:r w:rsidRPr="0007316B">
              <w:rPr>
                <w:rFonts w:ascii="Calibri" w:eastAsia="Times New Roman" w:hAnsi="Calibri" w:cs="Calibri"/>
                <w:b/>
                <w:bCs/>
                <w:color w:val="FFFFFF"/>
                <w:sz w:val="28"/>
                <w:szCs w:val="28"/>
              </w:rPr>
              <w:t>poverty rate</w:t>
            </w:r>
          </w:p>
        </w:tc>
        <w:tc>
          <w:tcPr>
            <w:tcW w:w="1855" w:type="dxa"/>
            <w:tcBorders>
              <w:top w:val="single" w:sz="4" w:space="0" w:color="95B3D7"/>
              <w:left w:val="nil"/>
              <w:bottom w:val="single" w:sz="4" w:space="0" w:color="95B3D7"/>
              <w:right w:val="single" w:sz="4" w:space="0" w:color="95B3D7"/>
            </w:tcBorders>
            <w:shd w:val="clear" w:color="4F81BD" w:fill="4F81BD"/>
            <w:noWrap/>
            <w:vAlign w:val="bottom"/>
            <w:hideMark/>
          </w:tcPr>
          <w:p w:rsidR="0007316B" w:rsidRPr="0007316B" w:rsidRDefault="0007316B" w:rsidP="0007316B">
            <w:pPr>
              <w:spacing w:after="0" w:line="240" w:lineRule="auto"/>
              <w:rPr>
                <w:rFonts w:ascii="Calibri" w:eastAsia="Times New Roman" w:hAnsi="Calibri" w:cs="Calibri"/>
                <w:b/>
                <w:bCs/>
                <w:color w:val="FFFFFF"/>
                <w:sz w:val="28"/>
                <w:szCs w:val="28"/>
              </w:rPr>
            </w:pPr>
            <w:r w:rsidRPr="0007316B">
              <w:rPr>
                <w:rFonts w:ascii="Calibri" w:eastAsia="Times New Roman" w:hAnsi="Calibri" w:cs="Calibri"/>
                <w:b/>
                <w:bCs/>
                <w:color w:val="FFFFFF"/>
                <w:sz w:val="28"/>
                <w:szCs w:val="28"/>
              </w:rPr>
              <w:t>mortality rate</w:t>
            </w:r>
          </w:p>
        </w:tc>
      </w:tr>
      <w:tr w:rsidR="0007316B" w:rsidRPr="0007316B" w:rsidTr="0007316B">
        <w:trPr>
          <w:trHeight w:val="288"/>
        </w:trPr>
        <w:tc>
          <w:tcPr>
            <w:tcW w:w="1291" w:type="dxa"/>
            <w:tcBorders>
              <w:top w:val="single" w:sz="4" w:space="0" w:color="95B3D7"/>
              <w:left w:val="single" w:sz="4" w:space="0" w:color="95B3D7"/>
              <w:bottom w:val="single" w:sz="4" w:space="0" w:color="95B3D7"/>
              <w:right w:val="nil"/>
            </w:tcBorders>
            <w:shd w:val="clear" w:color="DCE6F1" w:fill="DCE6F1"/>
            <w:noWrap/>
            <w:vAlign w:val="bottom"/>
            <w:hideMark/>
          </w:tcPr>
          <w:p w:rsidR="0007316B" w:rsidRPr="0007316B" w:rsidRDefault="0007316B" w:rsidP="0007316B">
            <w:pPr>
              <w:spacing w:after="0" w:line="240" w:lineRule="auto"/>
              <w:rPr>
                <w:rFonts w:ascii="Calibri" w:eastAsia="Times New Roman" w:hAnsi="Calibri" w:cs="Calibri"/>
                <w:b/>
                <w:bCs/>
                <w:color w:val="000000"/>
              </w:rPr>
            </w:pPr>
            <w:r w:rsidRPr="0007316B">
              <w:rPr>
                <w:rFonts w:ascii="Calibri" w:eastAsia="Times New Roman" w:hAnsi="Calibri" w:cs="Calibri"/>
                <w:b/>
                <w:bCs/>
                <w:color w:val="000000"/>
              </w:rPr>
              <w:t>USA</w:t>
            </w:r>
          </w:p>
        </w:tc>
        <w:tc>
          <w:tcPr>
            <w:tcW w:w="3898" w:type="dxa"/>
            <w:tcBorders>
              <w:top w:val="single" w:sz="4" w:space="0" w:color="95B3D7"/>
              <w:left w:val="nil"/>
              <w:bottom w:val="single" w:sz="4" w:space="0" w:color="95B3D7"/>
              <w:right w:val="nil"/>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3.47</w:t>
            </w:r>
          </w:p>
        </w:tc>
        <w:tc>
          <w:tcPr>
            <w:tcW w:w="1656" w:type="dxa"/>
            <w:tcBorders>
              <w:top w:val="single" w:sz="4" w:space="0" w:color="95B3D7"/>
              <w:left w:val="nil"/>
              <w:bottom w:val="single" w:sz="4" w:space="0" w:color="95B3D7"/>
              <w:right w:val="nil"/>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11.4</w:t>
            </w:r>
          </w:p>
        </w:tc>
        <w:tc>
          <w:tcPr>
            <w:tcW w:w="1855" w:type="dxa"/>
            <w:tcBorders>
              <w:top w:val="single" w:sz="4" w:space="0" w:color="95B3D7"/>
              <w:left w:val="nil"/>
              <w:bottom w:val="single" w:sz="4" w:space="0" w:color="95B3D7"/>
              <w:right w:val="single" w:sz="4" w:space="0" w:color="95B3D7"/>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8.88</w:t>
            </w:r>
          </w:p>
        </w:tc>
      </w:tr>
      <w:tr w:rsidR="0007316B" w:rsidRPr="0007316B" w:rsidTr="0007316B">
        <w:trPr>
          <w:trHeight w:val="288"/>
        </w:trPr>
        <w:tc>
          <w:tcPr>
            <w:tcW w:w="1291" w:type="dxa"/>
            <w:tcBorders>
              <w:top w:val="single" w:sz="4" w:space="0" w:color="95B3D7"/>
              <w:left w:val="single" w:sz="4" w:space="0" w:color="95B3D7"/>
              <w:bottom w:val="single" w:sz="4" w:space="0" w:color="95B3D7"/>
              <w:right w:val="nil"/>
            </w:tcBorders>
            <w:shd w:val="clear" w:color="auto" w:fill="auto"/>
            <w:noWrap/>
            <w:vAlign w:val="bottom"/>
            <w:hideMark/>
          </w:tcPr>
          <w:p w:rsidR="0007316B" w:rsidRPr="0007316B" w:rsidRDefault="0007316B" w:rsidP="0007316B">
            <w:pPr>
              <w:spacing w:after="0" w:line="240" w:lineRule="auto"/>
              <w:rPr>
                <w:rFonts w:ascii="Calibri" w:eastAsia="Times New Roman" w:hAnsi="Calibri" w:cs="Calibri"/>
                <w:b/>
                <w:bCs/>
                <w:color w:val="000000"/>
              </w:rPr>
            </w:pPr>
            <w:r w:rsidRPr="0007316B">
              <w:rPr>
                <w:rFonts w:ascii="Calibri" w:eastAsia="Times New Roman" w:hAnsi="Calibri" w:cs="Calibri"/>
                <w:b/>
                <w:bCs/>
                <w:color w:val="000000"/>
              </w:rPr>
              <w:t>UK</w:t>
            </w:r>
          </w:p>
        </w:tc>
        <w:tc>
          <w:tcPr>
            <w:tcW w:w="3898" w:type="dxa"/>
            <w:tcBorders>
              <w:top w:val="single" w:sz="4" w:space="0" w:color="95B3D7"/>
              <w:left w:val="nil"/>
              <w:bottom w:val="single" w:sz="4" w:space="0" w:color="95B3D7"/>
              <w:right w:val="nil"/>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9.8</w:t>
            </w:r>
          </w:p>
        </w:tc>
        <w:tc>
          <w:tcPr>
            <w:tcW w:w="1656" w:type="dxa"/>
            <w:tcBorders>
              <w:top w:val="single" w:sz="4" w:space="0" w:color="95B3D7"/>
              <w:left w:val="nil"/>
              <w:bottom w:val="single" w:sz="4" w:space="0" w:color="95B3D7"/>
              <w:right w:val="nil"/>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23</w:t>
            </w:r>
          </w:p>
        </w:tc>
        <w:tc>
          <w:tcPr>
            <w:tcW w:w="1855" w:type="dxa"/>
            <w:tcBorders>
              <w:top w:val="single" w:sz="4" w:space="0" w:color="95B3D7"/>
              <w:left w:val="nil"/>
              <w:bottom w:val="single" w:sz="4" w:space="0" w:color="95B3D7"/>
              <w:right w:val="single" w:sz="4" w:space="0" w:color="95B3D7"/>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10.3</w:t>
            </w:r>
          </w:p>
        </w:tc>
      </w:tr>
      <w:tr w:rsidR="0007316B" w:rsidRPr="0007316B" w:rsidTr="0007316B">
        <w:trPr>
          <w:trHeight w:val="288"/>
        </w:trPr>
        <w:tc>
          <w:tcPr>
            <w:tcW w:w="1291" w:type="dxa"/>
            <w:tcBorders>
              <w:top w:val="single" w:sz="4" w:space="0" w:color="95B3D7"/>
              <w:left w:val="single" w:sz="4" w:space="0" w:color="95B3D7"/>
              <w:bottom w:val="single" w:sz="4" w:space="0" w:color="95B3D7"/>
              <w:right w:val="nil"/>
            </w:tcBorders>
            <w:shd w:val="clear" w:color="DCE6F1" w:fill="DCE6F1"/>
            <w:noWrap/>
            <w:vAlign w:val="bottom"/>
            <w:hideMark/>
          </w:tcPr>
          <w:p w:rsidR="0007316B" w:rsidRPr="0007316B" w:rsidRDefault="0007316B" w:rsidP="0007316B">
            <w:pPr>
              <w:spacing w:after="0" w:line="240" w:lineRule="auto"/>
              <w:rPr>
                <w:rFonts w:ascii="Calibri" w:eastAsia="Times New Roman" w:hAnsi="Calibri" w:cs="Calibri"/>
                <w:b/>
                <w:bCs/>
                <w:color w:val="000000"/>
              </w:rPr>
            </w:pPr>
            <w:r w:rsidRPr="0007316B">
              <w:rPr>
                <w:rFonts w:ascii="Calibri" w:eastAsia="Times New Roman" w:hAnsi="Calibri" w:cs="Calibri"/>
                <w:b/>
                <w:bCs/>
                <w:color w:val="000000"/>
              </w:rPr>
              <w:t>India</w:t>
            </w:r>
          </w:p>
        </w:tc>
        <w:tc>
          <w:tcPr>
            <w:tcW w:w="3898" w:type="dxa"/>
            <w:tcBorders>
              <w:top w:val="single" w:sz="4" w:space="0" w:color="95B3D7"/>
              <w:left w:val="nil"/>
              <w:bottom w:val="single" w:sz="4" w:space="0" w:color="95B3D7"/>
              <w:right w:val="nil"/>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8</w:t>
            </w:r>
          </w:p>
        </w:tc>
        <w:tc>
          <w:tcPr>
            <w:tcW w:w="1656" w:type="dxa"/>
            <w:tcBorders>
              <w:top w:val="single" w:sz="4" w:space="0" w:color="95B3D7"/>
              <w:left w:val="nil"/>
              <w:bottom w:val="single" w:sz="4" w:space="0" w:color="95B3D7"/>
              <w:right w:val="nil"/>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20.8</w:t>
            </w:r>
          </w:p>
        </w:tc>
        <w:tc>
          <w:tcPr>
            <w:tcW w:w="1855" w:type="dxa"/>
            <w:tcBorders>
              <w:top w:val="single" w:sz="4" w:space="0" w:color="95B3D7"/>
              <w:left w:val="nil"/>
              <w:bottom w:val="single" w:sz="4" w:space="0" w:color="95B3D7"/>
              <w:right w:val="single" w:sz="4" w:space="0" w:color="95B3D7"/>
            </w:tcBorders>
            <w:shd w:val="clear" w:color="DCE6F1" w:fill="DCE6F1"/>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7.23</w:t>
            </w:r>
          </w:p>
        </w:tc>
      </w:tr>
      <w:tr w:rsidR="0007316B" w:rsidRPr="0007316B" w:rsidTr="0007316B">
        <w:trPr>
          <w:trHeight w:val="288"/>
        </w:trPr>
        <w:tc>
          <w:tcPr>
            <w:tcW w:w="1291" w:type="dxa"/>
            <w:tcBorders>
              <w:top w:val="single" w:sz="4" w:space="0" w:color="95B3D7"/>
              <w:left w:val="single" w:sz="4" w:space="0" w:color="95B3D7"/>
              <w:bottom w:val="single" w:sz="4" w:space="0" w:color="95B3D7"/>
              <w:right w:val="nil"/>
            </w:tcBorders>
            <w:shd w:val="clear" w:color="auto" w:fill="auto"/>
            <w:noWrap/>
            <w:vAlign w:val="bottom"/>
            <w:hideMark/>
          </w:tcPr>
          <w:p w:rsidR="0007316B" w:rsidRPr="0007316B" w:rsidRDefault="0007316B" w:rsidP="0007316B">
            <w:pPr>
              <w:spacing w:after="0" w:line="240" w:lineRule="auto"/>
              <w:rPr>
                <w:rFonts w:ascii="Calibri" w:eastAsia="Times New Roman" w:hAnsi="Calibri" w:cs="Calibri"/>
                <w:b/>
                <w:bCs/>
                <w:color w:val="000000"/>
              </w:rPr>
            </w:pPr>
            <w:r w:rsidRPr="0007316B">
              <w:rPr>
                <w:rFonts w:ascii="Calibri" w:eastAsia="Times New Roman" w:hAnsi="Calibri" w:cs="Calibri"/>
                <w:b/>
                <w:bCs/>
                <w:color w:val="000000"/>
              </w:rPr>
              <w:t>Spain</w:t>
            </w:r>
          </w:p>
        </w:tc>
        <w:tc>
          <w:tcPr>
            <w:tcW w:w="3898" w:type="dxa"/>
            <w:tcBorders>
              <w:top w:val="single" w:sz="4" w:space="0" w:color="95B3D7"/>
              <w:left w:val="nil"/>
              <w:bottom w:val="single" w:sz="4" w:space="0" w:color="95B3D7"/>
              <w:right w:val="nil"/>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8.48</w:t>
            </w:r>
          </w:p>
        </w:tc>
        <w:tc>
          <w:tcPr>
            <w:tcW w:w="1656" w:type="dxa"/>
            <w:tcBorders>
              <w:top w:val="single" w:sz="4" w:space="0" w:color="95B3D7"/>
              <w:left w:val="nil"/>
              <w:bottom w:val="single" w:sz="4" w:space="0" w:color="95B3D7"/>
              <w:right w:val="nil"/>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21.5</w:t>
            </w:r>
          </w:p>
        </w:tc>
        <w:tc>
          <w:tcPr>
            <w:tcW w:w="1855" w:type="dxa"/>
            <w:tcBorders>
              <w:top w:val="single" w:sz="4" w:space="0" w:color="95B3D7"/>
              <w:left w:val="nil"/>
              <w:bottom w:val="single" w:sz="4" w:space="0" w:color="95B3D7"/>
              <w:right w:val="single" w:sz="4" w:space="0" w:color="95B3D7"/>
            </w:tcBorders>
            <w:shd w:val="clear" w:color="auto" w:fill="auto"/>
            <w:noWrap/>
            <w:vAlign w:val="bottom"/>
            <w:hideMark/>
          </w:tcPr>
          <w:p w:rsidR="0007316B" w:rsidRPr="0007316B" w:rsidRDefault="0007316B" w:rsidP="0007316B">
            <w:pPr>
              <w:spacing w:after="0" w:line="240" w:lineRule="auto"/>
              <w:jc w:val="right"/>
              <w:rPr>
                <w:rFonts w:ascii="Calibri" w:eastAsia="Times New Roman" w:hAnsi="Calibri" w:cs="Calibri"/>
                <w:color w:val="000000"/>
              </w:rPr>
            </w:pPr>
            <w:r w:rsidRPr="0007316B">
              <w:rPr>
                <w:rFonts w:ascii="Calibri" w:eastAsia="Times New Roman" w:hAnsi="Calibri" w:cs="Calibri"/>
                <w:color w:val="000000"/>
              </w:rPr>
              <w:t>10.3</w:t>
            </w:r>
          </w:p>
        </w:tc>
      </w:tr>
    </w:tbl>
    <w:p w:rsidR="0007316B" w:rsidRDefault="0007316B" w:rsidP="00662122">
      <w:pPr>
        <w:rPr>
          <w:sz w:val="24"/>
        </w:rPr>
      </w:pPr>
    </w:p>
    <w:p w:rsidR="00E722A9" w:rsidRPr="00464F54" w:rsidRDefault="00E722A9" w:rsidP="00662122">
      <w:pPr>
        <w:rPr>
          <w:sz w:val="28"/>
        </w:rPr>
      </w:pPr>
    </w:p>
    <w:p w:rsidR="006E578B" w:rsidRDefault="0007316B" w:rsidP="00A86CCA">
      <w:pPr>
        <w:pStyle w:val="Heading1"/>
        <w:rPr>
          <w:b w:val="0"/>
        </w:rPr>
      </w:pPr>
      <w:r>
        <w:rPr>
          <w:noProof/>
        </w:rPr>
        <w:lastRenderedPageBreak/>
        <w:drawing>
          <wp:inline distT="0" distB="0" distL="0" distR="0" wp14:anchorId="73691EC7" wp14:editId="70718755">
            <wp:extent cx="6393873" cy="2743200"/>
            <wp:effectExtent l="0" t="0" r="26035"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7316B" w:rsidRDefault="0007316B" w:rsidP="0007316B"/>
    <w:p w:rsidR="0007316B" w:rsidRDefault="0007316B" w:rsidP="0007316B">
      <w:pPr>
        <w:pStyle w:val="Heading3"/>
        <w:rPr>
          <w:sz w:val="28"/>
        </w:rPr>
      </w:pPr>
      <w:r>
        <w:rPr>
          <w:sz w:val="28"/>
        </w:rPr>
        <w:t>CONCLUSION</w:t>
      </w:r>
    </w:p>
    <w:p w:rsidR="00F07B0C" w:rsidRDefault="0007316B" w:rsidP="0007316B">
      <w:pPr>
        <w:rPr>
          <w:sz w:val="24"/>
        </w:rPr>
      </w:pPr>
      <w:r>
        <w:rPr>
          <w:sz w:val="24"/>
        </w:rPr>
        <w:t xml:space="preserve">Our analysis was centered towards finding an impact that COVID: 19 had imposed on nation’s development but clearly there is no single answer to that analysis. Even after differentiating our choice of countries into two sections Developing and Developed to find any significant relation we are unable to provide any solid conclusion. Some countries </w:t>
      </w:r>
      <w:r w:rsidR="00F07B0C">
        <w:rPr>
          <w:sz w:val="24"/>
        </w:rPr>
        <w:t>got</w:t>
      </w:r>
      <w:r>
        <w:rPr>
          <w:sz w:val="24"/>
        </w:rPr>
        <w:t xml:space="preserve"> affected </w:t>
      </w:r>
      <w:r w:rsidR="00F07B0C">
        <w:rPr>
          <w:sz w:val="24"/>
        </w:rPr>
        <w:t>by inequality and poverty thus affecting their growth. And some may have affected due to several other reasons and factors which can be responsible for this which we have not taken in our paper under observation. We can although see by this analysis that industry driven nations were able to come out of the impact posed on them by pandemic.</w:t>
      </w:r>
    </w:p>
    <w:p w:rsidR="0007316B" w:rsidRPr="0007316B" w:rsidRDefault="00F07B0C" w:rsidP="0007316B">
      <w:pPr>
        <w:rPr>
          <w:sz w:val="24"/>
        </w:rPr>
      </w:pPr>
      <w:r>
        <w:rPr>
          <w:sz w:val="24"/>
        </w:rPr>
        <w:t>Also mortality which was the area of concern while going through this pandemic has not shown significant increases over the years our analysis.  A way which we can say about coming out of this phase of setback in development due to pandemic can be learnt from United States of America. Nations should focus on the industry side if their GSP to Come out of the injuries left by this pandemic.</w:t>
      </w:r>
    </w:p>
    <w:p w:rsidR="006E578B" w:rsidRDefault="006E578B" w:rsidP="00A86CCA">
      <w:pPr>
        <w:pStyle w:val="Heading1"/>
        <w:rPr>
          <w:sz w:val="36"/>
        </w:rPr>
      </w:pPr>
    </w:p>
    <w:p w:rsidR="00143CC3" w:rsidRDefault="00A86CCA" w:rsidP="00A86CCA">
      <w:pPr>
        <w:pStyle w:val="Heading1"/>
        <w:rPr>
          <w:sz w:val="36"/>
        </w:rPr>
      </w:pPr>
      <w:r>
        <w:rPr>
          <w:sz w:val="36"/>
        </w:rPr>
        <w:t xml:space="preserve">REFERENCES </w:t>
      </w:r>
    </w:p>
    <w:p w:rsidR="00A86CCA" w:rsidRPr="00A86CCA" w:rsidRDefault="00A86CCA" w:rsidP="00A86CCA">
      <w:pPr>
        <w:pStyle w:val="ListParagraph"/>
        <w:numPr>
          <w:ilvl w:val="0"/>
          <w:numId w:val="1"/>
        </w:numPr>
      </w:pPr>
      <w:r w:rsidRPr="00F930D2">
        <w:rPr>
          <w:sz w:val="24"/>
        </w:rPr>
        <w:t xml:space="preserve">The Poverty-Growth-Inequality Triangle by </w:t>
      </w:r>
      <w:r w:rsidRPr="00A86CCA">
        <w:rPr>
          <w:rFonts w:ascii="Calibri" w:hAnsi="Calibri" w:cs="Calibri"/>
          <w:color w:val="141414"/>
          <w:sz w:val="24"/>
          <w:szCs w:val="27"/>
        </w:rPr>
        <w:t>François Bourguignon</w:t>
      </w:r>
    </w:p>
    <w:p w:rsidR="00A86CCA" w:rsidRPr="00A86CCA" w:rsidRDefault="00A86CCA" w:rsidP="00A86CCA">
      <w:pPr>
        <w:pStyle w:val="ListParagraph"/>
        <w:numPr>
          <w:ilvl w:val="0"/>
          <w:numId w:val="1"/>
        </w:numPr>
      </w:pPr>
      <w:r>
        <w:rPr>
          <w:sz w:val="24"/>
        </w:rPr>
        <w:t>world economic forum</w:t>
      </w:r>
    </w:p>
    <w:p w:rsidR="00A86CCA" w:rsidRPr="00F94C35" w:rsidRDefault="00A86CCA" w:rsidP="00A86CCA">
      <w:pPr>
        <w:pStyle w:val="ListParagraph"/>
        <w:numPr>
          <w:ilvl w:val="0"/>
          <w:numId w:val="1"/>
        </w:numPr>
      </w:pPr>
      <w:r>
        <w:rPr>
          <w:sz w:val="24"/>
        </w:rPr>
        <w:lastRenderedPageBreak/>
        <w:t>macro trends</w:t>
      </w:r>
    </w:p>
    <w:p w:rsidR="00F94C35" w:rsidRPr="00E72106" w:rsidRDefault="00F94C35" w:rsidP="00A86CCA">
      <w:pPr>
        <w:pStyle w:val="ListParagraph"/>
        <w:numPr>
          <w:ilvl w:val="0"/>
          <w:numId w:val="1"/>
        </w:numPr>
      </w:pPr>
      <w:r>
        <w:rPr>
          <w:sz w:val="24"/>
        </w:rPr>
        <w:t>statista</w:t>
      </w:r>
      <w:r w:rsidR="000520EA">
        <w:rPr>
          <w:sz w:val="24"/>
        </w:rPr>
        <w:t xml:space="preserve"> </w:t>
      </w:r>
    </w:p>
    <w:p w:rsidR="00E72106" w:rsidRDefault="00E72106" w:rsidP="00A86CCA">
      <w:pPr>
        <w:pStyle w:val="ListParagraph"/>
        <w:numPr>
          <w:ilvl w:val="0"/>
          <w:numId w:val="1"/>
        </w:numPr>
        <w:rPr>
          <w:sz w:val="24"/>
        </w:rPr>
      </w:pPr>
      <w:r w:rsidRPr="00F930D2">
        <w:rPr>
          <w:sz w:val="24"/>
        </w:rPr>
        <w:t>Inequality, poverty and economic growth</w:t>
      </w:r>
      <w:r w:rsidR="00F930D2">
        <w:rPr>
          <w:sz w:val="24"/>
        </w:rPr>
        <w:t xml:space="preserve"> by </w:t>
      </w:r>
      <w:r w:rsidR="00F930D2" w:rsidRPr="00F930D2">
        <w:rPr>
          <w:sz w:val="24"/>
        </w:rPr>
        <w:t>Robert Breunig</w:t>
      </w:r>
      <w:r w:rsidR="00F930D2" w:rsidRPr="00F930D2">
        <w:rPr>
          <w:rFonts w:ascii="Cambria Math" w:hAnsi="Cambria Math" w:cs="Cambria Math"/>
          <w:sz w:val="24"/>
        </w:rPr>
        <w:t>∗</w:t>
      </w:r>
      <w:r w:rsidR="00F930D2" w:rsidRPr="00F930D2">
        <w:rPr>
          <w:sz w:val="24"/>
        </w:rPr>
        <w:t xml:space="preserve"> and Omer Majeed Crawford School of Public Policy Australian National University</w:t>
      </w:r>
      <w:r w:rsidR="00F930D2">
        <w:rPr>
          <w:sz w:val="24"/>
        </w:rPr>
        <w:t>.</w:t>
      </w:r>
    </w:p>
    <w:p w:rsidR="00464F54" w:rsidRPr="004316B5" w:rsidRDefault="004316B5" w:rsidP="00A86CCA">
      <w:pPr>
        <w:pStyle w:val="ListParagraph"/>
        <w:numPr>
          <w:ilvl w:val="0"/>
          <w:numId w:val="1"/>
        </w:numPr>
        <w:rPr>
          <w:sz w:val="24"/>
        </w:rPr>
      </w:pPr>
      <w:r w:rsidRPr="004316B5">
        <w:rPr>
          <w:sz w:val="24"/>
        </w:rPr>
        <w:t>Trends in Income Inequality and its Impact on Economic Growth by Federico</w:t>
      </w:r>
      <w:r w:rsidRPr="004316B5">
        <w:rPr>
          <w:sz w:val="28"/>
        </w:rPr>
        <w:t xml:space="preserve"> </w:t>
      </w:r>
      <w:r w:rsidR="00464F54" w:rsidRPr="00464F54">
        <w:rPr>
          <w:sz w:val="24"/>
        </w:rPr>
        <w:t>Cingano</w:t>
      </w:r>
      <w:r w:rsidR="00464F54">
        <w:t xml:space="preserve"> (2014)</w:t>
      </w:r>
    </w:p>
    <w:p w:rsidR="004316B5" w:rsidRPr="004316B5" w:rsidRDefault="004316B5" w:rsidP="00A86CCA">
      <w:pPr>
        <w:pStyle w:val="ListParagraph"/>
        <w:numPr>
          <w:ilvl w:val="0"/>
          <w:numId w:val="1"/>
        </w:numPr>
        <w:rPr>
          <w:rFonts w:cstheme="minorHAnsi"/>
          <w:sz w:val="32"/>
        </w:rPr>
      </w:pPr>
      <w:r w:rsidRPr="004316B5">
        <w:rPr>
          <w:rFonts w:cstheme="minorHAnsi"/>
          <w:color w:val="222222"/>
          <w:sz w:val="24"/>
          <w:szCs w:val="20"/>
          <w:shd w:val="clear" w:color="auto" w:fill="FFFFFF"/>
        </w:rPr>
        <w:t xml:space="preserve">Redistribution, inequality, and growth by D </w:t>
      </w:r>
      <w:proofErr w:type="spellStart"/>
      <w:r w:rsidRPr="004316B5">
        <w:rPr>
          <w:rFonts w:cstheme="minorHAnsi"/>
          <w:color w:val="222222"/>
          <w:sz w:val="24"/>
          <w:szCs w:val="20"/>
          <w:shd w:val="clear" w:color="auto" w:fill="FFFFFF"/>
        </w:rPr>
        <w:t>Ostry</w:t>
      </w:r>
      <w:proofErr w:type="spellEnd"/>
      <w:r w:rsidRPr="004316B5">
        <w:rPr>
          <w:rFonts w:cstheme="minorHAnsi"/>
          <w:color w:val="222222"/>
          <w:sz w:val="24"/>
          <w:szCs w:val="20"/>
          <w:shd w:val="clear" w:color="auto" w:fill="FFFFFF"/>
        </w:rPr>
        <w:t xml:space="preserve">, J., Berg, A. and </w:t>
      </w:r>
      <w:proofErr w:type="spellStart"/>
      <w:r w:rsidRPr="004316B5">
        <w:rPr>
          <w:rFonts w:cstheme="minorHAnsi"/>
          <w:color w:val="222222"/>
          <w:sz w:val="24"/>
          <w:szCs w:val="20"/>
          <w:shd w:val="clear" w:color="auto" w:fill="FFFFFF"/>
        </w:rPr>
        <w:t>Tsangarides</w:t>
      </w:r>
      <w:proofErr w:type="spellEnd"/>
      <w:r w:rsidRPr="004316B5">
        <w:rPr>
          <w:rFonts w:cstheme="minorHAnsi"/>
          <w:color w:val="222222"/>
          <w:sz w:val="24"/>
          <w:szCs w:val="20"/>
          <w:shd w:val="clear" w:color="auto" w:fill="FFFFFF"/>
        </w:rPr>
        <w:t>, C.G., 2014.</w:t>
      </w:r>
    </w:p>
    <w:p w:rsidR="004316B5" w:rsidRDefault="006C4011" w:rsidP="00A86CCA">
      <w:pPr>
        <w:pStyle w:val="ListParagraph"/>
        <w:numPr>
          <w:ilvl w:val="0"/>
          <w:numId w:val="1"/>
        </w:numPr>
        <w:rPr>
          <w:rFonts w:cstheme="minorHAnsi"/>
          <w:sz w:val="24"/>
        </w:rPr>
      </w:pPr>
      <w:r w:rsidRPr="006C4011">
        <w:rPr>
          <w:rFonts w:cstheme="minorHAnsi"/>
          <w:sz w:val="24"/>
        </w:rPr>
        <w:t>Standardizing the world income inequality data base by Frederick slot (2009)</w:t>
      </w:r>
    </w:p>
    <w:p w:rsidR="006C4011" w:rsidRPr="006C4011" w:rsidRDefault="006C4011" w:rsidP="00A86CCA">
      <w:pPr>
        <w:pStyle w:val="ListParagraph"/>
        <w:numPr>
          <w:ilvl w:val="0"/>
          <w:numId w:val="1"/>
        </w:numPr>
        <w:rPr>
          <w:rFonts w:cstheme="minorHAnsi"/>
          <w:sz w:val="24"/>
        </w:rPr>
      </w:pPr>
      <w:r>
        <w:rPr>
          <w:rFonts w:cstheme="minorHAnsi"/>
          <w:sz w:val="24"/>
        </w:rPr>
        <w:t xml:space="preserve">Inequality and growth: the neglected time dimension by </w:t>
      </w:r>
      <w:r>
        <w:t xml:space="preserve">Halter, </w:t>
      </w:r>
      <w:proofErr w:type="spellStart"/>
      <w:r>
        <w:t>Oechslin</w:t>
      </w:r>
      <w:proofErr w:type="spellEnd"/>
      <w:r>
        <w:t xml:space="preserve"> and </w:t>
      </w:r>
      <w:proofErr w:type="spellStart"/>
      <w:r>
        <w:t>Zweim¨uller</w:t>
      </w:r>
      <w:proofErr w:type="spellEnd"/>
      <w:r>
        <w:t xml:space="preserve"> (2014)</w:t>
      </w:r>
    </w:p>
    <w:p w:rsidR="006C4011" w:rsidRPr="006C4011" w:rsidRDefault="006C4011" w:rsidP="00A86CCA">
      <w:pPr>
        <w:pStyle w:val="ListParagraph"/>
        <w:numPr>
          <w:ilvl w:val="0"/>
          <w:numId w:val="1"/>
        </w:numPr>
        <w:rPr>
          <w:rFonts w:cstheme="minorHAnsi"/>
          <w:sz w:val="32"/>
        </w:rPr>
      </w:pPr>
      <w:r w:rsidRPr="006C4011">
        <w:rPr>
          <w:sz w:val="24"/>
        </w:rPr>
        <w:t>Inequality, poverty and economic growth</w:t>
      </w:r>
      <w:r>
        <w:rPr>
          <w:sz w:val="24"/>
        </w:rPr>
        <w:t xml:space="preserve"> by </w:t>
      </w:r>
      <w:proofErr w:type="spellStart"/>
      <w:r w:rsidRPr="006C4011">
        <w:rPr>
          <w:sz w:val="24"/>
        </w:rPr>
        <w:t>Rosenzweig</w:t>
      </w:r>
      <w:proofErr w:type="spellEnd"/>
      <w:r w:rsidRPr="006C4011">
        <w:rPr>
          <w:sz w:val="24"/>
        </w:rPr>
        <w:t xml:space="preserve"> and Binswanger (1992) and </w:t>
      </w:r>
      <w:proofErr w:type="spellStart"/>
      <w:r w:rsidRPr="006C4011">
        <w:rPr>
          <w:sz w:val="24"/>
        </w:rPr>
        <w:t>Foellmi</w:t>
      </w:r>
      <w:proofErr w:type="spellEnd"/>
      <w:r w:rsidRPr="006C4011">
        <w:rPr>
          <w:sz w:val="24"/>
        </w:rPr>
        <w:t xml:space="preserve"> and </w:t>
      </w:r>
      <w:proofErr w:type="spellStart"/>
      <w:r w:rsidRPr="006C4011">
        <w:rPr>
          <w:sz w:val="24"/>
        </w:rPr>
        <w:t>Zweim¨uller</w:t>
      </w:r>
      <w:proofErr w:type="spellEnd"/>
      <w:r w:rsidRPr="006C4011">
        <w:rPr>
          <w:sz w:val="24"/>
        </w:rPr>
        <w:t xml:space="preserve"> (2006).</w:t>
      </w:r>
    </w:p>
    <w:p w:rsidR="006C4011" w:rsidRPr="006C4011" w:rsidRDefault="006C4011" w:rsidP="00A86CCA">
      <w:pPr>
        <w:pStyle w:val="ListParagraph"/>
        <w:numPr>
          <w:ilvl w:val="0"/>
          <w:numId w:val="1"/>
        </w:numPr>
        <w:rPr>
          <w:rFonts w:cstheme="minorHAnsi"/>
          <w:sz w:val="36"/>
        </w:rPr>
      </w:pPr>
      <w:r w:rsidRPr="006C4011">
        <w:rPr>
          <w:sz w:val="24"/>
        </w:rPr>
        <w:t>From Physical to Human Capital Accumulation: Inequality and the Process of Development</w:t>
      </w:r>
      <w:r w:rsidRPr="006C4011">
        <w:rPr>
          <w:sz w:val="24"/>
        </w:rPr>
        <w:t xml:space="preserve"> by </w:t>
      </w:r>
      <w:proofErr w:type="spellStart"/>
      <w:r>
        <w:rPr>
          <w:sz w:val="24"/>
        </w:rPr>
        <w:t>Oded</w:t>
      </w:r>
      <w:proofErr w:type="spellEnd"/>
      <w:r>
        <w:rPr>
          <w:sz w:val="24"/>
        </w:rPr>
        <w:t xml:space="preserve"> </w:t>
      </w:r>
      <w:proofErr w:type="spellStart"/>
      <w:r w:rsidRPr="006C4011">
        <w:rPr>
          <w:sz w:val="24"/>
        </w:rPr>
        <w:t>Galor</w:t>
      </w:r>
      <w:proofErr w:type="spellEnd"/>
      <w:r w:rsidRPr="006C4011">
        <w:rPr>
          <w:sz w:val="24"/>
        </w:rPr>
        <w:t xml:space="preserve"> and </w:t>
      </w:r>
      <w:r>
        <w:rPr>
          <w:sz w:val="24"/>
        </w:rPr>
        <w:t xml:space="preserve">Omer </w:t>
      </w:r>
      <w:proofErr w:type="spellStart"/>
      <w:r w:rsidRPr="006C4011">
        <w:rPr>
          <w:sz w:val="24"/>
        </w:rPr>
        <w:t>Moav</w:t>
      </w:r>
      <w:proofErr w:type="spellEnd"/>
      <w:r w:rsidRPr="006C4011">
        <w:rPr>
          <w:sz w:val="24"/>
        </w:rPr>
        <w:t xml:space="preserve"> (2004)</w:t>
      </w:r>
    </w:p>
    <w:p w:rsidR="006C4011" w:rsidRPr="006C4011" w:rsidRDefault="006C4011" w:rsidP="00A86CCA">
      <w:pPr>
        <w:pStyle w:val="ListParagraph"/>
        <w:numPr>
          <w:ilvl w:val="0"/>
          <w:numId w:val="1"/>
        </w:numPr>
        <w:rPr>
          <w:rFonts w:cstheme="minorHAnsi"/>
          <w:sz w:val="40"/>
        </w:rPr>
      </w:pPr>
      <w:r w:rsidRPr="006C4011">
        <w:rPr>
          <w:sz w:val="24"/>
        </w:rPr>
        <w:t>Income Distribution and Macroeconomics</w:t>
      </w:r>
      <w:r w:rsidRPr="006C4011">
        <w:rPr>
          <w:sz w:val="24"/>
        </w:rPr>
        <w:t xml:space="preserve"> by </w:t>
      </w:r>
      <w:proofErr w:type="spellStart"/>
      <w:r w:rsidRPr="006C4011">
        <w:rPr>
          <w:sz w:val="24"/>
        </w:rPr>
        <w:t>Oded</w:t>
      </w:r>
      <w:proofErr w:type="spellEnd"/>
      <w:r w:rsidRPr="006C4011">
        <w:rPr>
          <w:sz w:val="24"/>
        </w:rPr>
        <w:t xml:space="preserve"> </w:t>
      </w:r>
      <w:proofErr w:type="spellStart"/>
      <w:r w:rsidRPr="006C4011">
        <w:rPr>
          <w:sz w:val="24"/>
        </w:rPr>
        <w:t>Galor</w:t>
      </w:r>
      <w:proofErr w:type="spellEnd"/>
      <w:r w:rsidRPr="006C4011">
        <w:rPr>
          <w:sz w:val="24"/>
        </w:rPr>
        <w:t xml:space="preserve">; Joseph </w:t>
      </w:r>
      <w:proofErr w:type="spellStart"/>
      <w:r w:rsidRPr="006C4011">
        <w:rPr>
          <w:sz w:val="24"/>
        </w:rPr>
        <w:t>Zeira</w:t>
      </w:r>
      <w:proofErr w:type="spellEnd"/>
      <w:r w:rsidRPr="006C4011">
        <w:rPr>
          <w:sz w:val="24"/>
        </w:rPr>
        <w:t xml:space="preserve"> (1993)</w:t>
      </w:r>
    </w:p>
    <w:p w:rsidR="006C4011" w:rsidRPr="000E71C9" w:rsidRDefault="006C4011" w:rsidP="00A86CCA">
      <w:pPr>
        <w:pStyle w:val="ListParagraph"/>
        <w:numPr>
          <w:ilvl w:val="0"/>
          <w:numId w:val="1"/>
        </w:numPr>
        <w:rPr>
          <w:rFonts w:cstheme="minorHAnsi"/>
          <w:sz w:val="40"/>
        </w:rPr>
      </w:pPr>
      <w:bookmarkStart w:id="0" w:name="_GoBack"/>
      <w:r>
        <w:rPr>
          <w:rFonts w:ascii="Verdana" w:hAnsi="Verdana"/>
          <w:color w:val="232323"/>
          <w:sz w:val="21"/>
          <w:szCs w:val="21"/>
          <w:shd w:val="clear" w:color="auto" w:fill="FFFFFF"/>
        </w:rPr>
        <w:t xml:space="preserve">Growth, Income Distribution, and Democracy: What the Data Say. Journal of </w:t>
      </w:r>
      <w:bookmarkEnd w:id="0"/>
      <w:r>
        <w:rPr>
          <w:rFonts w:ascii="Verdana" w:hAnsi="Verdana"/>
          <w:color w:val="232323"/>
          <w:sz w:val="21"/>
          <w:szCs w:val="21"/>
          <w:shd w:val="clear" w:color="auto" w:fill="FFFFFF"/>
        </w:rPr>
        <w:t>Economic Growth, 1, 149-188.</w:t>
      </w:r>
      <w:r>
        <w:rPr>
          <w:rFonts w:ascii="Verdana" w:hAnsi="Verdana"/>
          <w:color w:val="232323"/>
          <w:sz w:val="21"/>
          <w:szCs w:val="21"/>
          <w:shd w:val="clear" w:color="auto" w:fill="FFFFFF"/>
        </w:rPr>
        <w:t xml:space="preserve"> By </w:t>
      </w:r>
      <w:proofErr w:type="spellStart"/>
      <w:r>
        <w:rPr>
          <w:rFonts w:ascii="Verdana" w:hAnsi="Verdana"/>
          <w:color w:val="232323"/>
          <w:sz w:val="21"/>
          <w:szCs w:val="21"/>
          <w:shd w:val="clear" w:color="auto" w:fill="FFFFFF"/>
        </w:rPr>
        <w:t>Perotti</w:t>
      </w:r>
      <w:proofErr w:type="spellEnd"/>
      <w:r>
        <w:rPr>
          <w:rFonts w:ascii="Verdana" w:hAnsi="Verdana"/>
          <w:color w:val="232323"/>
          <w:sz w:val="21"/>
          <w:szCs w:val="21"/>
          <w:shd w:val="clear" w:color="auto" w:fill="FFFFFF"/>
        </w:rPr>
        <w:t>, R. (1996)</w:t>
      </w:r>
    </w:p>
    <w:p w:rsidR="000E71C9" w:rsidRPr="000E71C9" w:rsidRDefault="000E71C9" w:rsidP="00A86CCA">
      <w:pPr>
        <w:pStyle w:val="ListParagraph"/>
        <w:numPr>
          <w:ilvl w:val="0"/>
          <w:numId w:val="1"/>
        </w:numPr>
        <w:rPr>
          <w:rFonts w:cstheme="minorHAnsi"/>
          <w:sz w:val="40"/>
        </w:rPr>
      </w:pPr>
      <w:r>
        <w:rPr>
          <w:rFonts w:ascii="Verdana" w:hAnsi="Verdana"/>
          <w:color w:val="232323"/>
          <w:sz w:val="21"/>
          <w:szCs w:val="21"/>
          <w:shd w:val="clear" w:color="auto" w:fill="FFFFFF"/>
        </w:rPr>
        <w:t>Forbes (2000)</w:t>
      </w:r>
    </w:p>
    <w:p w:rsidR="000E71C9" w:rsidRPr="005A3560" w:rsidRDefault="000E71C9" w:rsidP="00A86CCA">
      <w:pPr>
        <w:pStyle w:val="ListParagraph"/>
        <w:numPr>
          <w:ilvl w:val="0"/>
          <w:numId w:val="1"/>
        </w:numPr>
        <w:rPr>
          <w:rFonts w:cstheme="minorHAnsi"/>
          <w:sz w:val="24"/>
          <w:szCs w:val="24"/>
        </w:rPr>
      </w:pPr>
      <w:r w:rsidRPr="005A3560">
        <w:rPr>
          <w:rFonts w:cstheme="minorHAnsi"/>
          <w:sz w:val="24"/>
          <w:szCs w:val="24"/>
        </w:rPr>
        <w:t xml:space="preserve">Income distribution and demand induced innovations by </w:t>
      </w:r>
      <w:proofErr w:type="spellStart"/>
      <w:r w:rsidRPr="005A3560">
        <w:rPr>
          <w:sz w:val="24"/>
          <w:szCs w:val="24"/>
        </w:rPr>
        <w:t>Foellmi</w:t>
      </w:r>
      <w:proofErr w:type="spellEnd"/>
      <w:r w:rsidRPr="005A3560">
        <w:rPr>
          <w:sz w:val="24"/>
          <w:szCs w:val="24"/>
        </w:rPr>
        <w:t xml:space="preserve"> and </w:t>
      </w:r>
      <w:proofErr w:type="spellStart"/>
      <w:r w:rsidRPr="005A3560">
        <w:rPr>
          <w:sz w:val="24"/>
          <w:szCs w:val="24"/>
        </w:rPr>
        <w:t>Zweim¨uller</w:t>
      </w:r>
      <w:proofErr w:type="spellEnd"/>
      <w:r w:rsidRPr="005A3560">
        <w:rPr>
          <w:sz w:val="24"/>
          <w:szCs w:val="24"/>
        </w:rPr>
        <w:t xml:space="preserve"> (2006).</w:t>
      </w:r>
    </w:p>
    <w:p w:rsidR="005A3560" w:rsidRPr="005A3560" w:rsidRDefault="005A3560" w:rsidP="00A86CCA">
      <w:pPr>
        <w:pStyle w:val="ListParagraph"/>
        <w:numPr>
          <w:ilvl w:val="0"/>
          <w:numId w:val="1"/>
        </w:numPr>
        <w:rPr>
          <w:rFonts w:cstheme="minorHAnsi"/>
          <w:sz w:val="28"/>
          <w:szCs w:val="24"/>
        </w:rPr>
      </w:pPr>
      <w:r w:rsidRPr="005A3560">
        <w:rPr>
          <w:sz w:val="24"/>
        </w:rPr>
        <w:t>The End of Poverty: Economic Possibilities for our Time</w:t>
      </w:r>
      <w:r w:rsidRPr="005A3560">
        <w:rPr>
          <w:sz w:val="24"/>
        </w:rPr>
        <w:t xml:space="preserve"> by </w:t>
      </w:r>
      <w:r w:rsidRPr="005A3560">
        <w:rPr>
          <w:sz w:val="24"/>
        </w:rPr>
        <w:t>Jeffrey Sachs, (2005)</w:t>
      </w:r>
    </w:p>
    <w:sectPr w:rsidR="005A3560" w:rsidRPr="005A3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8FE" w:rsidRDefault="002778FE" w:rsidP="00751C54">
      <w:pPr>
        <w:spacing w:after="0" w:line="240" w:lineRule="auto"/>
      </w:pPr>
      <w:r>
        <w:separator/>
      </w:r>
    </w:p>
  </w:endnote>
  <w:endnote w:type="continuationSeparator" w:id="0">
    <w:p w:rsidR="002778FE" w:rsidRDefault="002778FE" w:rsidP="0075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8FE" w:rsidRDefault="002778FE" w:rsidP="00751C54">
      <w:pPr>
        <w:spacing w:after="0" w:line="240" w:lineRule="auto"/>
      </w:pPr>
      <w:r>
        <w:separator/>
      </w:r>
    </w:p>
  </w:footnote>
  <w:footnote w:type="continuationSeparator" w:id="0">
    <w:p w:rsidR="002778FE" w:rsidRDefault="002778FE" w:rsidP="00751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82BEC"/>
    <w:multiLevelType w:val="hybridMultilevel"/>
    <w:tmpl w:val="0358A958"/>
    <w:lvl w:ilvl="0" w:tplc="0720D0B6">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FE"/>
    <w:rsid w:val="000109CE"/>
    <w:rsid w:val="0001296A"/>
    <w:rsid w:val="00015036"/>
    <w:rsid w:val="00026403"/>
    <w:rsid w:val="000520EA"/>
    <w:rsid w:val="00061AB1"/>
    <w:rsid w:val="0007316B"/>
    <w:rsid w:val="000E71C9"/>
    <w:rsid w:val="00143CC3"/>
    <w:rsid w:val="00237197"/>
    <w:rsid w:val="002710BA"/>
    <w:rsid w:val="002778FE"/>
    <w:rsid w:val="002B2CB7"/>
    <w:rsid w:val="002B43FE"/>
    <w:rsid w:val="00313E25"/>
    <w:rsid w:val="00356455"/>
    <w:rsid w:val="003B244E"/>
    <w:rsid w:val="00430EC4"/>
    <w:rsid w:val="004316B5"/>
    <w:rsid w:val="00435410"/>
    <w:rsid w:val="00464F54"/>
    <w:rsid w:val="004E5A9D"/>
    <w:rsid w:val="005079F5"/>
    <w:rsid w:val="00594DC7"/>
    <w:rsid w:val="005A3560"/>
    <w:rsid w:val="0062579A"/>
    <w:rsid w:val="00662122"/>
    <w:rsid w:val="00697022"/>
    <w:rsid w:val="006C4011"/>
    <w:rsid w:val="006E578B"/>
    <w:rsid w:val="00751C54"/>
    <w:rsid w:val="0078235D"/>
    <w:rsid w:val="00835D8F"/>
    <w:rsid w:val="008A3AAC"/>
    <w:rsid w:val="008D23CD"/>
    <w:rsid w:val="009B10AB"/>
    <w:rsid w:val="00A336D3"/>
    <w:rsid w:val="00A41D49"/>
    <w:rsid w:val="00A80686"/>
    <w:rsid w:val="00A86CCA"/>
    <w:rsid w:val="00B11E14"/>
    <w:rsid w:val="00B65514"/>
    <w:rsid w:val="00BC70F3"/>
    <w:rsid w:val="00BF018C"/>
    <w:rsid w:val="00BF0248"/>
    <w:rsid w:val="00DA73F2"/>
    <w:rsid w:val="00E72106"/>
    <w:rsid w:val="00E722A9"/>
    <w:rsid w:val="00EF5F38"/>
    <w:rsid w:val="00F07B0C"/>
    <w:rsid w:val="00F37C0B"/>
    <w:rsid w:val="00F930D2"/>
    <w:rsid w:val="00F9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3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3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4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12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11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E1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1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C54"/>
    <w:rPr>
      <w:rFonts w:ascii="Tahoma" w:hAnsi="Tahoma" w:cs="Tahoma"/>
      <w:sz w:val="16"/>
      <w:szCs w:val="16"/>
    </w:rPr>
  </w:style>
  <w:style w:type="paragraph" w:styleId="Header">
    <w:name w:val="header"/>
    <w:basedOn w:val="Normal"/>
    <w:link w:val="HeaderChar"/>
    <w:uiPriority w:val="99"/>
    <w:unhideWhenUsed/>
    <w:rsid w:val="0075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C54"/>
  </w:style>
  <w:style w:type="paragraph" w:styleId="Footer">
    <w:name w:val="footer"/>
    <w:basedOn w:val="Normal"/>
    <w:link w:val="FooterChar"/>
    <w:uiPriority w:val="99"/>
    <w:unhideWhenUsed/>
    <w:rsid w:val="0075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C54"/>
  </w:style>
  <w:style w:type="paragraph" w:styleId="ListParagraph">
    <w:name w:val="List Paragraph"/>
    <w:basedOn w:val="Normal"/>
    <w:uiPriority w:val="34"/>
    <w:qFormat/>
    <w:rsid w:val="00A86CCA"/>
    <w:pPr>
      <w:ind w:left="720"/>
      <w:contextualSpacing/>
    </w:pPr>
  </w:style>
  <w:style w:type="character" w:customStyle="1" w:styleId="Heading3Char">
    <w:name w:val="Heading 3 Char"/>
    <w:basedOn w:val="DefaultParagraphFont"/>
    <w:link w:val="Heading3"/>
    <w:uiPriority w:val="9"/>
    <w:rsid w:val="0062579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5D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3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3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4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12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11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1E1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1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C54"/>
    <w:rPr>
      <w:rFonts w:ascii="Tahoma" w:hAnsi="Tahoma" w:cs="Tahoma"/>
      <w:sz w:val="16"/>
      <w:szCs w:val="16"/>
    </w:rPr>
  </w:style>
  <w:style w:type="paragraph" w:styleId="Header">
    <w:name w:val="header"/>
    <w:basedOn w:val="Normal"/>
    <w:link w:val="HeaderChar"/>
    <w:uiPriority w:val="99"/>
    <w:unhideWhenUsed/>
    <w:rsid w:val="0075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C54"/>
  </w:style>
  <w:style w:type="paragraph" w:styleId="Footer">
    <w:name w:val="footer"/>
    <w:basedOn w:val="Normal"/>
    <w:link w:val="FooterChar"/>
    <w:uiPriority w:val="99"/>
    <w:unhideWhenUsed/>
    <w:rsid w:val="0075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C54"/>
  </w:style>
  <w:style w:type="paragraph" w:styleId="ListParagraph">
    <w:name w:val="List Paragraph"/>
    <w:basedOn w:val="Normal"/>
    <w:uiPriority w:val="34"/>
    <w:qFormat/>
    <w:rsid w:val="00A86CCA"/>
    <w:pPr>
      <w:ind w:left="720"/>
      <w:contextualSpacing/>
    </w:pPr>
  </w:style>
  <w:style w:type="character" w:customStyle="1" w:styleId="Heading3Char">
    <w:name w:val="Heading 3 Char"/>
    <w:basedOn w:val="DefaultParagraphFont"/>
    <w:link w:val="Heading3"/>
    <w:uiPriority w:val="9"/>
    <w:rsid w:val="0062579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5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1465">
      <w:bodyDiv w:val="1"/>
      <w:marLeft w:val="0"/>
      <w:marRight w:val="0"/>
      <w:marTop w:val="0"/>
      <w:marBottom w:val="0"/>
      <w:divBdr>
        <w:top w:val="none" w:sz="0" w:space="0" w:color="auto"/>
        <w:left w:val="none" w:sz="0" w:space="0" w:color="auto"/>
        <w:bottom w:val="none" w:sz="0" w:space="0" w:color="auto"/>
        <w:right w:val="none" w:sz="0" w:space="0" w:color="auto"/>
      </w:divBdr>
    </w:div>
    <w:div w:id="161897716">
      <w:bodyDiv w:val="1"/>
      <w:marLeft w:val="0"/>
      <w:marRight w:val="0"/>
      <w:marTop w:val="0"/>
      <w:marBottom w:val="0"/>
      <w:divBdr>
        <w:top w:val="none" w:sz="0" w:space="0" w:color="auto"/>
        <w:left w:val="none" w:sz="0" w:space="0" w:color="auto"/>
        <w:bottom w:val="none" w:sz="0" w:space="0" w:color="auto"/>
        <w:right w:val="none" w:sz="0" w:space="0" w:color="auto"/>
      </w:divBdr>
    </w:div>
    <w:div w:id="201134491">
      <w:bodyDiv w:val="1"/>
      <w:marLeft w:val="0"/>
      <w:marRight w:val="0"/>
      <w:marTop w:val="0"/>
      <w:marBottom w:val="0"/>
      <w:divBdr>
        <w:top w:val="none" w:sz="0" w:space="0" w:color="auto"/>
        <w:left w:val="none" w:sz="0" w:space="0" w:color="auto"/>
        <w:bottom w:val="none" w:sz="0" w:space="0" w:color="auto"/>
        <w:right w:val="none" w:sz="0" w:space="0" w:color="auto"/>
      </w:divBdr>
    </w:div>
    <w:div w:id="318076743">
      <w:bodyDiv w:val="1"/>
      <w:marLeft w:val="0"/>
      <w:marRight w:val="0"/>
      <w:marTop w:val="0"/>
      <w:marBottom w:val="0"/>
      <w:divBdr>
        <w:top w:val="none" w:sz="0" w:space="0" w:color="auto"/>
        <w:left w:val="none" w:sz="0" w:space="0" w:color="auto"/>
        <w:bottom w:val="none" w:sz="0" w:space="0" w:color="auto"/>
        <w:right w:val="none" w:sz="0" w:space="0" w:color="auto"/>
      </w:divBdr>
    </w:div>
    <w:div w:id="491794794">
      <w:bodyDiv w:val="1"/>
      <w:marLeft w:val="0"/>
      <w:marRight w:val="0"/>
      <w:marTop w:val="0"/>
      <w:marBottom w:val="0"/>
      <w:divBdr>
        <w:top w:val="none" w:sz="0" w:space="0" w:color="auto"/>
        <w:left w:val="none" w:sz="0" w:space="0" w:color="auto"/>
        <w:bottom w:val="none" w:sz="0" w:space="0" w:color="auto"/>
        <w:right w:val="none" w:sz="0" w:space="0" w:color="auto"/>
      </w:divBdr>
    </w:div>
    <w:div w:id="660043069">
      <w:bodyDiv w:val="1"/>
      <w:marLeft w:val="0"/>
      <w:marRight w:val="0"/>
      <w:marTop w:val="0"/>
      <w:marBottom w:val="0"/>
      <w:divBdr>
        <w:top w:val="none" w:sz="0" w:space="0" w:color="auto"/>
        <w:left w:val="none" w:sz="0" w:space="0" w:color="auto"/>
        <w:bottom w:val="none" w:sz="0" w:space="0" w:color="auto"/>
        <w:right w:val="none" w:sz="0" w:space="0" w:color="auto"/>
      </w:divBdr>
    </w:div>
    <w:div w:id="798914806">
      <w:bodyDiv w:val="1"/>
      <w:marLeft w:val="0"/>
      <w:marRight w:val="0"/>
      <w:marTop w:val="0"/>
      <w:marBottom w:val="0"/>
      <w:divBdr>
        <w:top w:val="none" w:sz="0" w:space="0" w:color="auto"/>
        <w:left w:val="none" w:sz="0" w:space="0" w:color="auto"/>
        <w:bottom w:val="none" w:sz="0" w:space="0" w:color="auto"/>
        <w:right w:val="none" w:sz="0" w:space="0" w:color="auto"/>
      </w:divBdr>
    </w:div>
    <w:div w:id="813522813">
      <w:bodyDiv w:val="1"/>
      <w:marLeft w:val="0"/>
      <w:marRight w:val="0"/>
      <w:marTop w:val="0"/>
      <w:marBottom w:val="0"/>
      <w:divBdr>
        <w:top w:val="none" w:sz="0" w:space="0" w:color="auto"/>
        <w:left w:val="none" w:sz="0" w:space="0" w:color="auto"/>
        <w:bottom w:val="none" w:sz="0" w:space="0" w:color="auto"/>
        <w:right w:val="none" w:sz="0" w:space="0" w:color="auto"/>
      </w:divBdr>
    </w:div>
    <w:div w:id="1116872433">
      <w:bodyDiv w:val="1"/>
      <w:marLeft w:val="0"/>
      <w:marRight w:val="0"/>
      <w:marTop w:val="0"/>
      <w:marBottom w:val="0"/>
      <w:divBdr>
        <w:top w:val="none" w:sz="0" w:space="0" w:color="auto"/>
        <w:left w:val="none" w:sz="0" w:space="0" w:color="auto"/>
        <w:bottom w:val="none" w:sz="0" w:space="0" w:color="auto"/>
        <w:right w:val="none" w:sz="0" w:space="0" w:color="auto"/>
      </w:divBdr>
    </w:div>
    <w:div w:id="1406146769">
      <w:bodyDiv w:val="1"/>
      <w:marLeft w:val="0"/>
      <w:marRight w:val="0"/>
      <w:marTop w:val="0"/>
      <w:marBottom w:val="0"/>
      <w:divBdr>
        <w:top w:val="none" w:sz="0" w:space="0" w:color="auto"/>
        <w:left w:val="none" w:sz="0" w:space="0" w:color="auto"/>
        <w:bottom w:val="none" w:sz="0" w:space="0" w:color="auto"/>
        <w:right w:val="none" w:sz="0" w:space="0" w:color="auto"/>
      </w:divBdr>
    </w:div>
    <w:div w:id="1646157635">
      <w:bodyDiv w:val="1"/>
      <w:marLeft w:val="0"/>
      <w:marRight w:val="0"/>
      <w:marTop w:val="0"/>
      <w:marBottom w:val="0"/>
      <w:divBdr>
        <w:top w:val="none" w:sz="0" w:space="0" w:color="auto"/>
        <w:left w:val="none" w:sz="0" w:space="0" w:color="auto"/>
        <w:bottom w:val="none" w:sz="0" w:space="0" w:color="auto"/>
        <w:right w:val="none" w:sz="0" w:space="0" w:color="auto"/>
      </w:divBdr>
      <w:divsChild>
        <w:div w:id="84692510">
          <w:marLeft w:val="0"/>
          <w:marRight w:val="0"/>
          <w:marTop w:val="225"/>
          <w:marBottom w:val="225"/>
          <w:divBdr>
            <w:top w:val="none" w:sz="0" w:space="0" w:color="auto"/>
            <w:left w:val="none" w:sz="0" w:space="0" w:color="auto"/>
            <w:bottom w:val="none" w:sz="0" w:space="0" w:color="auto"/>
            <w:right w:val="none" w:sz="0" w:space="0" w:color="auto"/>
          </w:divBdr>
          <w:divsChild>
            <w:div w:id="1189878889">
              <w:marLeft w:val="0"/>
              <w:marRight w:val="0"/>
              <w:marTop w:val="0"/>
              <w:marBottom w:val="0"/>
              <w:divBdr>
                <w:top w:val="none" w:sz="0" w:space="0" w:color="auto"/>
                <w:left w:val="none" w:sz="0" w:space="0" w:color="auto"/>
                <w:bottom w:val="none" w:sz="0" w:space="0" w:color="auto"/>
                <w:right w:val="none" w:sz="0" w:space="0" w:color="auto"/>
              </w:divBdr>
              <w:divsChild>
                <w:div w:id="137918507">
                  <w:marLeft w:val="0"/>
                  <w:marRight w:val="0"/>
                  <w:marTop w:val="0"/>
                  <w:marBottom w:val="0"/>
                  <w:divBdr>
                    <w:top w:val="none" w:sz="0" w:space="0" w:color="auto"/>
                    <w:left w:val="none" w:sz="0" w:space="0" w:color="auto"/>
                    <w:bottom w:val="none" w:sz="0" w:space="0" w:color="auto"/>
                    <w:right w:val="none" w:sz="0" w:space="0" w:color="auto"/>
                  </w:divBdr>
                  <w:divsChild>
                    <w:div w:id="17693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28884">
      <w:bodyDiv w:val="1"/>
      <w:marLeft w:val="0"/>
      <w:marRight w:val="0"/>
      <w:marTop w:val="0"/>
      <w:marBottom w:val="0"/>
      <w:divBdr>
        <w:top w:val="none" w:sz="0" w:space="0" w:color="auto"/>
        <w:left w:val="none" w:sz="0" w:space="0" w:color="auto"/>
        <w:bottom w:val="none" w:sz="0" w:space="0" w:color="auto"/>
        <w:right w:val="none" w:sz="0" w:space="0" w:color="auto"/>
      </w:divBdr>
    </w:div>
    <w:div w:id="20326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[Book1]Sheet6!PivotTable3</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barChart>
        <c:barDir val="col"/>
        <c:grouping val="clustered"/>
        <c:varyColors val="0"/>
        <c:ser>
          <c:idx val="0"/>
          <c:order val="0"/>
          <c:tx>
            <c:strRef>
              <c:f>Sheet6!$B$1</c:f>
              <c:strCache>
                <c:ptCount val="1"/>
                <c:pt idx="0">
                  <c:v>Sum of Growth rate</c:v>
                </c:pt>
              </c:strCache>
            </c:strRef>
          </c:tx>
          <c:invertIfNegative val="0"/>
          <c:cat>
            <c:strRef>
              <c:f>Sheet6!$A$2:$A$5</c:f>
              <c:strCache>
                <c:ptCount val="3"/>
                <c:pt idx="0">
                  <c:v>2019</c:v>
                </c:pt>
                <c:pt idx="1">
                  <c:v>2020</c:v>
                </c:pt>
                <c:pt idx="2">
                  <c:v>2021</c:v>
                </c:pt>
              </c:strCache>
            </c:strRef>
          </c:cat>
          <c:val>
            <c:numRef>
              <c:f>Sheet6!$B$2:$B$5</c:f>
              <c:numCache>
                <c:formatCode>General</c:formatCode>
                <c:ptCount val="3"/>
                <c:pt idx="0">
                  <c:v>2.29</c:v>
                </c:pt>
                <c:pt idx="1">
                  <c:v>-3.41</c:v>
                </c:pt>
                <c:pt idx="2">
                  <c:v>5.59</c:v>
                </c:pt>
              </c:numCache>
            </c:numRef>
          </c:val>
        </c:ser>
        <c:ser>
          <c:idx val="1"/>
          <c:order val="1"/>
          <c:tx>
            <c:strRef>
              <c:f>Sheet6!$C$1</c:f>
              <c:strCache>
                <c:ptCount val="1"/>
                <c:pt idx="0">
                  <c:v>Sum of Mortality rate</c:v>
                </c:pt>
              </c:strCache>
            </c:strRef>
          </c:tx>
          <c:invertIfNegative val="0"/>
          <c:cat>
            <c:strRef>
              <c:f>Sheet6!$A$2:$A$5</c:f>
              <c:strCache>
                <c:ptCount val="3"/>
                <c:pt idx="0">
                  <c:v>2019</c:v>
                </c:pt>
                <c:pt idx="1">
                  <c:v>2020</c:v>
                </c:pt>
                <c:pt idx="2">
                  <c:v>2021</c:v>
                </c:pt>
              </c:strCache>
            </c:strRef>
          </c:cat>
          <c:val>
            <c:numRef>
              <c:f>Sheet6!$C$2:$C$5</c:f>
              <c:numCache>
                <c:formatCode>General</c:formatCode>
                <c:ptCount val="3"/>
                <c:pt idx="0">
                  <c:v>8.7799999999999994</c:v>
                </c:pt>
                <c:pt idx="1">
                  <c:v>8.8800000000000008</c:v>
                </c:pt>
                <c:pt idx="2">
                  <c:v>8.9700000000000006</c:v>
                </c:pt>
              </c:numCache>
            </c:numRef>
          </c:val>
        </c:ser>
        <c:dLbls>
          <c:showLegendKey val="0"/>
          <c:showVal val="0"/>
          <c:showCatName val="0"/>
          <c:showSerName val="0"/>
          <c:showPercent val="0"/>
          <c:showBubbleSize val="0"/>
        </c:dLbls>
        <c:gapWidth val="150"/>
        <c:axId val="143067008"/>
        <c:axId val="143068544"/>
      </c:barChart>
      <c:catAx>
        <c:axId val="143067008"/>
        <c:scaling>
          <c:orientation val="minMax"/>
        </c:scaling>
        <c:delete val="0"/>
        <c:axPos val="b"/>
        <c:majorTickMark val="out"/>
        <c:minorTickMark val="none"/>
        <c:tickLblPos val="nextTo"/>
        <c:crossAx val="143068544"/>
        <c:crosses val="autoZero"/>
        <c:auto val="1"/>
        <c:lblAlgn val="ctr"/>
        <c:lblOffset val="100"/>
        <c:noMultiLvlLbl val="0"/>
      </c:catAx>
      <c:valAx>
        <c:axId val="143068544"/>
        <c:scaling>
          <c:orientation val="minMax"/>
        </c:scaling>
        <c:delete val="0"/>
        <c:axPos val="l"/>
        <c:majorGridlines/>
        <c:numFmt formatCode="General" sourceLinked="1"/>
        <c:majorTickMark val="out"/>
        <c:minorTickMark val="none"/>
        <c:tickLblPos val="nextTo"/>
        <c:crossAx val="14306700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[Book1]Sheet7!PivotTable4</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barChart>
        <c:barDir val="col"/>
        <c:grouping val="clustered"/>
        <c:varyColors val="0"/>
        <c:ser>
          <c:idx val="0"/>
          <c:order val="0"/>
          <c:tx>
            <c:strRef>
              <c:f>Sheet7!$B$1</c:f>
              <c:strCache>
                <c:ptCount val="1"/>
                <c:pt idx="0">
                  <c:v>Sum of Growth rate</c:v>
                </c:pt>
              </c:strCache>
            </c:strRef>
          </c:tx>
          <c:invertIfNegative val="0"/>
          <c:cat>
            <c:strRef>
              <c:f>Sheet7!$A$2:$A$5</c:f>
              <c:strCache>
                <c:ptCount val="3"/>
                <c:pt idx="0">
                  <c:v>2019</c:v>
                </c:pt>
                <c:pt idx="1">
                  <c:v>2020</c:v>
                </c:pt>
                <c:pt idx="2">
                  <c:v>2021</c:v>
                </c:pt>
              </c:strCache>
            </c:strRef>
          </c:cat>
          <c:val>
            <c:numRef>
              <c:f>Sheet7!$B$2:$B$5</c:f>
              <c:numCache>
                <c:formatCode>General</c:formatCode>
                <c:ptCount val="3"/>
                <c:pt idx="0">
                  <c:v>2.29</c:v>
                </c:pt>
                <c:pt idx="1">
                  <c:v>-3.41</c:v>
                </c:pt>
                <c:pt idx="2">
                  <c:v>5.59</c:v>
                </c:pt>
              </c:numCache>
            </c:numRef>
          </c:val>
        </c:ser>
        <c:ser>
          <c:idx val="1"/>
          <c:order val="1"/>
          <c:tx>
            <c:strRef>
              <c:f>Sheet7!$C$1</c:f>
              <c:strCache>
                <c:ptCount val="1"/>
                <c:pt idx="0">
                  <c:v>Sum of Poverty rate</c:v>
                </c:pt>
              </c:strCache>
            </c:strRef>
          </c:tx>
          <c:invertIfNegative val="0"/>
          <c:cat>
            <c:strRef>
              <c:f>Sheet7!$A$2:$A$5</c:f>
              <c:strCache>
                <c:ptCount val="3"/>
                <c:pt idx="0">
                  <c:v>2019</c:v>
                </c:pt>
                <c:pt idx="1">
                  <c:v>2020</c:v>
                </c:pt>
                <c:pt idx="2">
                  <c:v>2021</c:v>
                </c:pt>
              </c:strCache>
            </c:strRef>
          </c:cat>
          <c:val>
            <c:numRef>
              <c:f>Sheet7!$C$2:$C$5</c:f>
              <c:numCache>
                <c:formatCode>General</c:formatCode>
                <c:ptCount val="3"/>
                <c:pt idx="0">
                  <c:v>10.5</c:v>
                </c:pt>
                <c:pt idx="1">
                  <c:v>11.4</c:v>
                </c:pt>
                <c:pt idx="2">
                  <c:v>11.5</c:v>
                </c:pt>
              </c:numCache>
            </c:numRef>
          </c:val>
        </c:ser>
        <c:dLbls>
          <c:showLegendKey val="0"/>
          <c:showVal val="0"/>
          <c:showCatName val="0"/>
          <c:showSerName val="0"/>
          <c:showPercent val="0"/>
          <c:showBubbleSize val="0"/>
        </c:dLbls>
        <c:gapWidth val="150"/>
        <c:axId val="248762368"/>
        <c:axId val="248765056"/>
      </c:barChart>
      <c:catAx>
        <c:axId val="248762368"/>
        <c:scaling>
          <c:orientation val="minMax"/>
        </c:scaling>
        <c:delete val="0"/>
        <c:axPos val="b"/>
        <c:majorTickMark val="out"/>
        <c:minorTickMark val="none"/>
        <c:tickLblPos val="nextTo"/>
        <c:crossAx val="248765056"/>
        <c:crosses val="autoZero"/>
        <c:auto val="1"/>
        <c:lblAlgn val="ctr"/>
        <c:lblOffset val="100"/>
        <c:noMultiLvlLbl val="0"/>
      </c:catAx>
      <c:valAx>
        <c:axId val="248765056"/>
        <c:scaling>
          <c:orientation val="minMax"/>
        </c:scaling>
        <c:delete val="0"/>
        <c:axPos val="l"/>
        <c:majorGridlines/>
        <c:numFmt formatCode="General" sourceLinked="1"/>
        <c:majorTickMark val="out"/>
        <c:minorTickMark val="none"/>
        <c:tickLblPos val="nextTo"/>
        <c:crossAx val="24876236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[Book1]Sheet9!PivotTable6</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Sheet9!$B$1</c:f>
              <c:strCache>
                <c:ptCount val="1"/>
                <c:pt idx="0">
                  <c:v>Sum of Mortality rates </c:v>
                </c:pt>
              </c:strCache>
            </c:strRef>
          </c:tx>
          <c:invertIfNegative val="0"/>
          <c:cat>
            <c:strRef>
              <c:f>Sheet9!$A$2:$A$6</c:f>
              <c:strCache>
                <c:ptCount val="4"/>
                <c:pt idx="0">
                  <c:v>2018</c:v>
                </c:pt>
                <c:pt idx="1">
                  <c:v>2019</c:v>
                </c:pt>
                <c:pt idx="2">
                  <c:v>2020</c:v>
                </c:pt>
                <c:pt idx="3">
                  <c:v>(blank)</c:v>
                </c:pt>
              </c:strCache>
            </c:strRef>
          </c:cat>
          <c:val>
            <c:numRef>
              <c:f>Sheet9!$B$2:$B$6</c:f>
              <c:numCache>
                <c:formatCode>General</c:formatCode>
                <c:ptCount val="4"/>
                <c:pt idx="0">
                  <c:v>9.3000000000000007</c:v>
                </c:pt>
                <c:pt idx="1">
                  <c:v>9.1</c:v>
                </c:pt>
                <c:pt idx="2">
                  <c:v>10.3</c:v>
                </c:pt>
              </c:numCache>
            </c:numRef>
          </c:val>
        </c:ser>
        <c:ser>
          <c:idx val="1"/>
          <c:order val="1"/>
          <c:tx>
            <c:strRef>
              <c:f>Sheet9!$C$1</c:f>
              <c:strCache>
                <c:ptCount val="1"/>
                <c:pt idx="0">
                  <c:v>Sum of Growth rates</c:v>
                </c:pt>
              </c:strCache>
            </c:strRef>
          </c:tx>
          <c:invertIfNegative val="0"/>
          <c:cat>
            <c:strRef>
              <c:f>Sheet9!$A$2:$A$6</c:f>
              <c:strCache>
                <c:ptCount val="4"/>
                <c:pt idx="0">
                  <c:v>2018</c:v>
                </c:pt>
                <c:pt idx="1">
                  <c:v>2019</c:v>
                </c:pt>
                <c:pt idx="2">
                  <c:v>2020</c:v>
                </c:pt>
                <c:pt idx="3">
                  <c:v>(blank)</c:v>
                </c:pt>
              </c:strCache>
            </c:strRef>
          </c:cat>
          <c:val>
            <c:numRef>
              <c:f>Sheet9!$C$2:$C$6</c:f>
              <c:numCache>
                <c:formatCode>General</c:formatCode>
                <c:ptCount val="4"/>
                <c:pt idx="0">
                  <c:v>17</c:v>
                </c:pt>
                <c:pt idx="1">
                  <c:v>14</c:v>
                </c:pt>
                <c:pt idx="2">
                  <c:v>-98</c:v>
                </c:pt>
              </c:numCache>
            </c:numRef>
          </c:val>
        </c:ser>
        <c:dLbls>
          <c:showLegendKey val="0"/>
          <c:showVal val="0"/>
          <c:showCatName val="0"/>
          <c:showSerName val="0"/>
          <c:showPercent val="0"/>
          <c:showBubbleSize val="0"/>
        </c:dLbls>
        <c:gapWidth val="150"/>
        <c:axId val="143084928"/>
        <c:axId val="143086720"/>
      </c:barChart>
      <c:catAx>
        <c:axId val="143084928"/>
        <c:scaling>
          <c:orientation val="minMax"/>
        </c:scaling>
        <c:delete val="0"/>
        <c:axPos val="b"/>
        <c:majorTickMark val="out"/>
        <c:minorTickMark val="none"/>
        <c:tickLblPos val="nextTo"/>
        <c:crossAx val="143086720"/>
        <c:crosses val="autoZero"/>
        <c:auto val="1"/>
        <c:lblAlgn val="ctr"/>
        <c:lblOffset val="100"/>
        <c:noMultiLvlLbl val="0"/>
      </c:catAx>
      <c:valAx>
        <c:axId val="143086720"/>
        <c:scaling>
          <c:orientation val="minMax"/>
        </c:scaling>
        <c:delete val="0"/>
        <c:axPos val="l"/>
        <c:majorGridlines/>
        <c:numFmt formatCode="General" sourceLinked="1"/>
        <c:majorTickMark val="out"/>
        <c:minorTickMark val="none"/>
        <c:tickLblPos val="nextTo"/>
        <c:crossAx val="14308492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[Book1]Sheet11!PivotTable8</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barChart>
        <c:barDir val="col"/>
        <c:grouping val="clustered"/>
        <c:varyColors val="0"/>
        <c:ser>
          <c:idx val="0"/>
          <c:order val="0"/>
          <c:tx>
            <c:strRef>
              <c:f>Sheet11!$B$1</c:f>
              <c:strCache>
                <c:ptCount val="1"/>
                <c:pt idx="0">
                  <c:v>Sum of Poverty rate</c:v>
                </c:pt>
              </c:strCache>
            </c:strRef>
          </c:tx>
          <c:invertIfNegative val="0"/>
          <c:cat>
            <c:strRef>
              <c:f>Sheet11!$A$2:$A$5</c:f>
              <c:strCache>
                <c:ptCount val="3"/>
                <c:pt idx="0">
                  <c:v>2018</c:v>
                </c:pt>
                <c:pt idx="1">
                  <c:v>2019</c:v>
                </c:pt>
                <c:pt idx="2">
                  <c:v>2020</c:v>
                </c:pt>
              </c:strCache>
            </c:strRef>
          </c:cat>
          <c:val>
            <c:numRef>
              <c:f>Sheet11!$B$2:$B$5</c:f>
              <c:numCache>
                <c:formatCode>General</c:formatCode>
                <c:ptCount val="3"/>
                <c:pt idx="0">
                  <c:v>22</c:v>
                </c:pt>
                <c:pt idx="1">
                  <c:v>23</c:v>
                </c:pt>
                <c:pt idx="2">
                  <c:v>18</c:v>
                </c:pt>
              </c:numCache>
            </c:numRef>
          </c:val>
        </c:ser>
        <c:ser>
          <c:idx val="1"/>
          <c:order val="1"/>
          <c:tx>
            <c:strRef>
              <c:f>Sheet11!$C$1</c:f>
              <c:strCache>
                <c:ptCount val="1"/>
                <c:pt idx="0">
                  <c:v>Sum of Growth rates</c:v>
                </c:pt>
              </c:strCache>
            </c:strRef>
          </c:tx>
          <c:invertIfNegative val="0"/>
          <c:cat>
            <c:strRef>
              <c:f>Sheet11!$A$2:$A$5</c:f>
              <c:strCache>
                <c:ptCount val="3"/>
                <c:pt idx="0">
                  <c:v>2018</c:v>
                </c:pt>
                <c:pt idx="1">
                  <c:v>2019</c:v>
                </c:pt>
                <c:pt idx="2">
                  <c:v>2020</c:v>
                </c:pt>
              </c:strCache>
            </c:strRef>
          </c:cat>
          <c:val>
            <c:numRef>
              <c:f>Sheet11!$C$2:$C$5</c:f>
              <c:numCache>
                <c:formatCode>General</c:formatCode>
                <c:ptCount val="3"/>
                <c:pt idx="0">
                  <c:v>17</c:v>
                </c:pt>
                <c:pt idx="1">
                  <c:v>14</c:v>
                </c:pt>
                <c:pt idx="2">
                  <c:v>-98.5</c:v>
                </c:pt>
              </c:numCache>
            </c:numRef>
          </c:val>
        </c:ser>
        <c:dLbls>
          <c:showLegendKey val="0"/>
          <c:showVal val="0"/>
          <c:showCatName val="0"/>
          <c:showSerName val="0"/>
          <c:showPercent val="0"/>
          <c:showBubbleSize val="0"/>
        </c:dLbls>
        <c:gapWidth val="150"/>
        <c:axId val="143099392"/>
        <c:axId val="143100928"/>
      </c:barChart>
      <c:catAx>
        <c:axId val="143099392"/>
        <c:scaling>
          <c:orientation val="minMax"/>
        </c:scaling>
        <c:delete val="0"/>
        <c:axPos val="b"/>
        <c:majorTickMark val="out"/>
        <c:minorTickMark val="none"/>
        <c:tickLblPos val="nextTo"/>
        <c:crossAx val="143100928"/>
        <c:crosses val="autoZero"/>
        <c:auto val="1"/>
        <c:lblAlgn val="ctr"/>
        <c:lblOffset val="100"/>
        <c:noMultiLvlLbl val="0"/>
      </c:catAx>
      <c:valAx>
        <c:axId val="143100928"/>
        <c:scaling>
          <c:orientation val="minMax"/>
        </c:scaling>
        <c:delete val="0"/>
        <c:axPos val="l"/>
        <c:majorGridlines/>
        <c:numFmt formatCode="General" sourceLinked="1"/>
        <c:majorTickMark val="out"/>
        <c:minorTickMark val="none"/>
        <c:tickLblPos val="nextTo"/>
        <c:crossAx val="14309939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[Book1]Sheet9!PivotTable9</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Sheet9!$B$1</c:f>
              <c:strCache>
                <c:ptCount val="1"/>
                <c:pt idx="0">
                  <c:v>Sum of mortality rates</c:v>
                </c:pt>
              </c:strCache>
            </c:strRef>
          </c:tx>
          <c:invertIfNegative val="0"/>
          <c:cat>
            <c:strRef>
              <c:f>Sheet9!$A$2:$A$5</c:f>
              <c:strCache>
                <c:ptCount val="3"/>
                <c:pt idx="0">
                  <c:v>2018</c:v>
                </c:pt>
                <c:pt idx="1">
                  <c:v>2019</c:v>
                </c:pt>
                <c:pt idx="2">
                  <c:v>2020</c:v>
                </c:pt>
              </c:strCache>
            </c:strRef>
          </c:cat>
          <c:val>
            <c:numRef>
              <c:f>Sheet9!$B$2:$B$5</c:f>
              <c:numCache>
                <c:formatCode>General</c:formatCode>
                <c:ptCount val="3"/>
                <c:pt idx="0">
                  <c:v>9.1</c:v>
                </c:pt>
                <c:pt idx="1">
                  <c:v>8.83</c:v>
                </c:pt>
                <c:pt idx="2">
                  <c:v>10.3</c:v>
                </c:pt>
              </c:numCache>
            </c:numRef>
          </c:val>
        </c:ser>
        <c:ser>
          <c:idx val="1"/>
          <c:order val="1"/>
          <c:tx>
            <c:strRef>
              <c:f>Sheet9!$C$1</c:f>
              <c:strCache>
                <c:ptCount val="1"/>
                <c:pt idx="0">
                  <c:v>Sum of growth rates</c:v>
                </c:pt>
              </c:strCache>
            </c:strRef>
          </c:tx>
          <c:invertIfNegative val="0"/>
          <c:cat>
            <c:strRef>
              <c:f>Sheet9!$A$2:$A$5</c:f>
              <c:strCache>
                <c:ptCount val="3"/>
                <c:pt idx="0">
                  <c:v>2018</c:v>
                </c:pt>
                <c:pt idx="1">
                  <c:v>2019</c:v>
                </c:pt>
                <c:pt idx="2">
                  <c:v>2020</c:v>
                </c:pt>
              </c:strCache>
            </c:strRef>
          </c:cat>
          <c:val>
            <c:numRef>
              <c:f>Sheet9!$C$2:$C$5</c:f>
              <c:numCache>
                <c:formatCode>General</c:formatCode>
                <c:ptCount val="3"/>
                <c:pt idx="0">
                  <c:v>7.88</c:v>
                </c:pt>
                <c:pt idx="1">
                  <c:v>-2.71</c:v>
                </c:pt>
                <c:pt idx="2">
                  <c:v>-8.48</c:v>
                </c:pt>
              </c:numCache>
            </c:numRef>
          </c:val>
        </c:ser>
        <c:dLbls>
          <c:showLegendKey val="0"/>
          <c:showVal val="0"/>
          <c:showCatName val="0"/>
          <c:showSerName val="0"/>
          <c:showPercent val="0"/>
          <c:showBubbleSize val="0"/>
        </c:dLbls>
        <c:gapWidth val="150"/>
        <c:axId val="143129600"/>
        <c:axId val="143332096"/>
      </c:barChart>
      <c:catAx>
        <c:axId val="143129600"/>
        <c:scaling>
          <c:orientation val="minMax"/>
        </c:scaling>
        <c:delete val="0"/>
        <c:axPos val="b"/>
        <c:majorTickMark val="out"/>
        <c:minorTickMark val="none"/>
        <c:tickLblPos val="nextTo"/>
        <c:crossAx val="143332096"/>
        <c:crosses val="autoZero"/>
        <c:auto val="1"/>
        <c:lblAlgn val="ctr"/>
        <c:lblOffset val="100"/>
        <c:noMultiLvlLbl val="0"/>
      </c:catAx>
      <c:valAx>
        <c:axId val="143332096"/>
        <c:scaling>
          <c:orientation val="minMax"/>
        </c:scaling>
        <c:delete val="0"/>
        <c:axPos val="l"/>
        <c:majorGridlines/>
        <c:numFmt formatCode="General" sourceLinked="1"/>
        <c:majorTickMark val="out"/>
        <c:minorTickMark val="none"/>
        <c:tickLblPos val="nextTo"/>
        <c:crossAx val="14312960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[Book1]Sheet10!PivotTable10</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Sheet10!$B$1</c:f>
              <c:strCache>
                <c:ptCount val="1"/>
                <c:pt idx="0">
                  <c:v>Sum of POVERTY RATE</c:v>
                </c:pt>
              </c:strCache>
            </c:strRef>
          </c:tx>
          <c:invertIfNegative val="0"/>
          <c:cat>
            <c:strRef>
              <c:f>Sheet10!$A$2:$A$5</c:f>
              <c:strCache>
                <c:ptCount val="3"/>
                <c:pt idx="0">
                  <c:v>2018</c:v>
                </c:pt>
                <c:pt idx="1">
                  <c:v>2019</c:v>
                </c:pt>
                <c:pt idx="2">
                  <c:v>2020</c:v>
                </c:pt>
              </c:strCache>
            </c:strRef>
          </c:cat>
          <c:val>
            <c:numRef>
              <c:f>Sheet10!$B$2:$B$5</c:f>
              <c:numCache>
                <c:formatCode>General</c:formatCode>
                <c:ptCount val="3"/>
                <c:pt idx="0">
                  <c:v>21</c:v>
                </c:pt>
                <c:pt idx="1">
                  <c:v>20.7</c:v>
                </c:pt>
                <c:pt idx="2">
                  <c:v>21.5</c:v>
                </c:pt>
              </c:numCache>
            </c:numRef>
          </c:val>
        </c:ser>
        <c:ser>
          <c:idx val="1"/>
          <c:order val="1"/>
          <c:tx>
            <c:strRef>
              <c:f>Sheet10!$C$1</c:f>
              <c:strCache>
                <c:ptCount val="1"/>
                <c:pt idx="0">
                  <c:v>Sum of GROWTH RATE</c:v>
                </c:pt>
              </c:strCache>
            </c:strRef>
          </c:tx>
          <c:invertIfNegative val="0"/>
          <c:cat>
            <c:strRef>
              <c:f>Sheet10!$A$2:$A$5</c:f>
              <c:strCache>
                <c:ptCount val="3"/>
                <c:pt idx="0">
                  <c:v>2018</c:v>
                </c:pt>
                <c:pt idx="1">
                  <c:v>2019</c:v>
                </c:pt>
                <c:pt idx="2">
                  <c:v>2020</c:v>
                </c:pt>
              </c:strCache>
            </c:strRef>
          </c:cat>
          <c:val>
            <c:numRef>
              <c:f>Sheet10!$C$2:$C$5</c:f>
              <c:numCache>
                <c:formatCode>General</c:formatCode>
                <c:ptCount val="3"/>
                <c:pt idx="0">
                  <c:v>7.22</c:v>
                </c:pt>
                <c:pt idx="1">
                  <c:v>-2.71</c:v>
                </c:pt>
                <c:pt idx="2">
                  <c:v>-8.48</c:v>
                </c:pt>
              </c:numCache>
            </c:numRef>
          </c:val>
        </c:ser>
        <c:dLbls>
          <c:showLegendKey val="0"/>
          <c:showVal val="0"/>
          <c:showCatName val="0"/>
          <c:showSerName val="0"/>
          <c:showPercent val="0"/>
          <c:showBubbleSize val="0"/>
        </c:dLbls>
        <c:gapWidth val="150"/>
        <c:axId val="143344768"/>
        <c:axId val="143346304"/>
      </c:barChart>
      <c:catAx>
        <c:axId val="143344768"/>
        <c:scaling>
          <c:orientation val="minMax"/>
        </c:scaling>
        <c:delete val="0"/>
        <c:axPos val="b"/>
        <c:majorTickMark val="out"/>
        <c:minorTickMark val="none"/>
        <c:tickLblPos val="nextTo"/>
        <c:crossAx val="143346304"/>
        <c:crosses val="autoZero"/>
        <c:auto val="1"/>
        <c:lblAlgn val="ctr"/>
        <c:lblOffset val="100"/>
        <c:noMultiLvlLbl val="0"/>
      </c:catAx>
      <c:valAx>
        <c:axId val="143346304"/>
        <c:scaling>
          <c:orientation val="minMax"/>
        </c:scaling>
        <c:delete val="0"/>
        <c:axPos val="l"/>
        <c:majorGridlines/>
        <c:numFmt formatCode="General" sourceLinked="1"/>
        <c:majorTickMark val="out"/>
        <c:minorTickMark val="none"/>
        <c:tickLblPos val="nextTo"/>
        <c:crossAx val="14334476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[Book1]Sheet11!PivotTable11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barChart>
        <c:barDir val="col"/>
        <c:grouping val="clustered"/>
        <c:varyColors val="0"/>
        <c:ser>
          <c:idx val="0"/>
          <c:order val="0"/>
          <c:tx>
            <c:strRef>
              <c:f>Sheet11!$B$1</c:f>
              <c:strCache>
                <c:ptCount val="1"/>
                <c:pt idx="0">
                  <c:v>Sum of MORTALITY RATE</c:v>
                </c:pt>
              </c:strCache>
            </c:strRef>
          </c:tx>
          <c:invertIfNegative val="0"/>
          <c:cat>
            <c:strRef>
              <c:f>Sheet11!$A$2:$A$5</c:f>
              <c:strCache>
                <c:ptCount val="3"/>
                <c:pt idx="0">
                  <c:v>2018</c:v>
                </c:pt>
                <c:pt idx="1">
                  <c:v>2019</c:v>
                </c:pt>
                <c:pt idx="2">
                  <c:v>2020</c:v>
                </c:pt>
              </c:strCache>
            </c:strRef>
          </c:cat>
          <c:val>
            <c:numRef>
              <c:f>Sheet11!$B$2:$B$5</c:f>
              <c:numCache>
                <c:formatCode>General</c:formatCode>
                <c:ptCount val="3"/>
                <c:pt idx="0">
                  <c:v>7.3</c:v>
                </c:pt>
                <c:pt idx="1">
                  <c:v>7.27</c:v>
                </c:pt>
                <c:pt idx="2">
                  <c:v>7.23</c:v>
                </c:pt>
              </c:numCache>
            </c:numRef>
          </c:val>
        </c:ser>
        <c:ser>
          <c:idx val="1"/>
          <c:order val="1"/>
          <c:tx>
            <c:strRef>
              <c:f>Sheet11!$C$1</c:f>
              <c:strCache>
                <c:ptCount val="1"/>
                <c:pt idx="0">
                  <c:v>Sum of GROWTH RATE</c:v>
                </c:pt>
              </c:strCache>
            </c:strRef>
          </c:tx>
          <c:invertIfNegative val="0"/>
          <c:cat>
            <c:strRef>
              <c:f>Sheet11!$A$2:$A$5</c:f>
              <c:strCache>
                <c:ptCount val="3"/>
                <c:pt idx="0">
                  <c:v>2018</c:v>
                </c:pt>
                <c:pt idx="1">
                  <c:v>2019</c:v>
                </c:pt>
                <c:pt idx="2">
                  <c:v>2020</c:v>
                </c:pt>
              </c:strCache>
            </c:strRef>
          </c:cat>
          <c:val>
            <c:numRef>
              <c:f>Sheet11!$C$2:$C$5</c:f>
              <c:numCache>
                <c:formatCode>General</c:formatCode>
                <c:ptCount val="3"/>
                <c:pt idx="0">
                  <c:v>6.5</c:v>
                </c:pt>
                <c:pt idx="1">
                  <c:v>4</c:v>
                </c:pt>
                <c:pt idx="2">
                  <c:v>-8</c:v>
                </c:pt>
              </c:numCache>
            </c:numRef>
          </c:val>
        </c:ser>
        <c:dLbls>
          <c:showLegendKey val="0"/>
          <c:showVal val="0"/>
          <c:showCatName val="0"/>
          <c:showSerName val="0"/>
          <c:showPercent val="0"/>
          <c:showBubbleSize val="0"/>
        </c:dLbls>
        <c:gapWidth val="150"/>
        <c:axId val="143363072"/>
        <c:axId val="143364864"/>
      </c:barChart>
      <c:catAx>
        <c:axId val="143363072"/>
        <c:scaling>
          <c:orientation val="minMax"/>
        </c:scaling>
        <c:delete val="0"/>
        <c:axPos val="b"/>
        <c:majorTickMark val="out"/>
        <c:minorTickMark val="none"/>
        <c:tickLblPos val="nextTo"/>
        <c:crossAx val="143364864"/>
        <c:crosses val="autoZero"/>
        <c:auto val="1"/>
        <c:lblAlgn val="ctr"/>
        <c:lblOffset val="100"/>
        <c:noMultiLvlLbl val="0"/>
      </c:catAx>
      <c:valAx>
        <c:axId val="143364864"/>
        <c:scaling>
          <c:orientation val="minMax"/>
        </c:scaling>
        <c:delete val="0"/>
        <c:axPos val="l"/>
        <c:majorGridlines/>
        <c:numFmt formatCode="General" sourceLinked="1"/>
        <c:majorTickMark val="out"/>
        <c:minorTickMark val="none"/>
        <c:tickLblPos val="nextTo"/>
        <c:crossAx val="14336307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[Book1]Sheet12!PivotTable12</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barChart>
        <c:barDir val="col"/>
        <c:grouping val="clustered"/>
        <c:varyColors val="0"/>
        <c:ser>
          <c:idx val="0"/>
          <c:order val="0"/>
          <c:tx>
            <c:strRef>
              <c:f>Sheet12!$B$1</c:f>
              <c:strCache>
                <c:ptCount val="1"/>
                <c:pt idx="0">
                  <c:v>Sum of POVERTY RATE</c:v>
                </c:pt>
              </c:strCache>
            </c:strRef>
          </c:tx>
          <c:invertIfNegative val="0"/>
          <c:cat>
            <c:strRef>
              <c:f>Sheet12!$A$2:$A$5</c:f>
              <c:strCache>
                <c:ptCount val="3"/>
                <c:pt idx="0">
                  <c:v>2018</c:v>
                </c:pt>
                <c:pt idx="1">
                  <c:v>2019</c:v>
                </c:pt>
                <c:pt idx="2">
                  <c:v>2020</c:v>
                </c:pt>
              </c:strCache>
            </c:strRef>
          </c:cat>
          <c:val>
            <c:numRef>
              <c:f>Sheet12!$B$2:$B$5</c:f>
              <c:numCache>
                <c:formatCode>General</c:formatCode>
                <c:ptCount val="3"/>
                <c:pt idx="0">
                  <c:v>6.9</c:v>
                </c:pt>
                <c:pt idx="1">
                  <c:v>6.7</c:v>
                </c:pt>
                <c:pt idx="2">
                  <c:v>20.8</c:v>
                </c:pt>
              </c:numCache>
            </c:numRef>
          </c:val>
        </c:ser>
        <c:ser>
          <c:idx val="1"/>
          <c:order val="1"/>
          <c:tx>
            <c:strRef>
              <c:f>Sheet12!$C$1</c:f>
              <c:strCache>
                <c:ptCount val="1"/>
                <c:pt idx="0">
                  <c:v>Sum of GROWTH RATE</c:v>
                </c:pt>
              </c:strCache>
            </c:strRef>
          </c:tx>
          <c:invertIfNegative val="0"/>
          <c:cat>
            <c:strRef>
              <c:f>Sheet12!$A$2:$A$5</c:f>
              <c:strCache>
                <c:ptCount val="3"/>
                <c:pt idx="0">
                  <c:v>2018</c:v>
                </c:pt>
                <c:pt idx="1">
                  <c:v>2019</c:v>
                </c:pt>
                <c:pt idx="2">
                  <c:v>2020</c:v>
                </c:pt>
              </c:strCache>
            </c:strRef>
          </c:cat>
          <c:val>
            <c:numRef>
              <c:f>Sheet12!$C$2:$C$5</c:f>
              <c:numCache>
                <c:formatCode>General</c:formatCode>
                <c:ptCount val="3"/>
                <c:pt idx="0">
                  <c:v>6.5</c:v>
                </c:pt>
                <c:pt idx="1">
                  <c:v>4</c:v>
                </c:pt>
                <c:pt idx="2">
                  <c:v>-8</c:v>
                </c:pt>
              </c:numCache>
            </c:numRef>
          </c:val>
        </c:ser>
        <c:dLbls>
          <c:showLegendKey val="0"/>
          <c:showVal val="0"/>
          <c:showCatName val="0"/>
          <c:showSerName val="0"/>
          <c:showPercent val="0"/>
          <c:showBubbleSize val="0"/>
        </c:dLbls>
        <c:gapWidth val="150"/>
        <c:axId val="145888384"/>
        <c:axId val="145889920"/>
      </c:barChart>
      <c:catAx>
        <c:axId val="145888384"/>
        <c:scaling>
          <c:orientation val="minMax"/>
        </c:scaling>
        <c:delete val="0"/>
        <c:axPos val="b"/>
        <c:majorTickMark val="out"/>
        <c:minorTickMark val="none"/>
        <c:tickLblPos val="nextTo"/>
        <c:crossAx val="145889920"/>
        <c:crosses val="autoZero"/>
        <c:auto val="1"/>
        <c:lblAlgn val="ctr"/>
        <c:lblOffset val="100"/>
        <c:noMultiLvlLbl val="0"/>
      </c:catAx>
      <c:valAx>
        <c:axId val="145889920"/>
        <c:scaling>
          <c:orientation val="minMax"/>
        </c:scaling>
        <c:delete val="0"/>
        <c:axPos val="l"/>
        <c:majorGridlines/>
        <c:numFmt formatCode="General" sourceLinked="1"/>
        <c:majorTickMark val="out"/>
        <c:minorTickMark val="none"/>
        <c:tickLblPos val="nextTo"/>
        <c:crossAx val="14588838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[Book1]Sheet16!PivotTable13</c:name>
    <c:fmtId val="-1"/>
  </c:pivotSource>
  <c:chart>
    <c:autoTitleDeleted val="0"/>
    <c:pivotFmts>
      <c:pivotFmt>
        <c:idx val="0"/>
      </c:pivotFmt>
      <c:pivotFmt>
        <c:idx val="1"/>
      </c:pivotFmt>
      <c:pivotFmt>
        <c:idx val="2"/>
      </c:pivotFmt>
      <c:pivotFmt>
        <c:idx val="3"/>
      </c:pivotFmt>
      <c:pivotFmt>
        <c:idx val="4"/>
      </c:pivotFmt>
      <c:pivotFmt>
        <c:idx val="5"/>
      </c:pivotFmt>
      <c:pivotFmt>
        <c:idx val="6"/>
      </c:pivotFmt>
    </c:pivotFmts>
    <c:plotArea>
      <c:layout/>
      <c:lineChart>
        <c:grouping val="standard"/>
        <c:varyColors val="0"/>
        <c:ser>
          <c:idx val="0"/>
          <c:order val="0"/>
          <c:tx>
            <c:strRef>
              <c:f>Sheet16!$B$1</c:f>
              <c:strCache>
                <c:ptCount val="1"/>
                <c:pt idx="0">
                  <c:v>Sum of growth rate for the year 2020</c:v>
                </c:pt>
              </c:strCache>
            </c:strRef>
          </c:tx>
          <c:cat>
            <c:strRef>
              <c:f>Sheet16!$A$2:$A$6</c:f>
              <c:strCache>
                <c:ptCount val="4"/>
                <c:pt idx="0">
                  <c:v>India</c:v>
                </c:pt>
                <c:pt idx="1">
                  <c:v>Spain</c:v>
                </c:pt>
                <c:pt idx="2">
                  <c:v>UK</c:v>
                </c:pt>
                <c:pt idx="3">
                  <c:v>USA</c:v>
                </c:pt>
              </c:strCache>
            </c:strRef>
          </c:cat>
          <c:val>
            <c:numRef>
              <c:f>Sheet16!$B$2:$B$6</c:f>
              <c:numCache>
                <c:formatCode>General</c:formatCode>
                <c:ptCount val="4"/>
                <c:pt idx="0">
                  <c:v>8</c:v>
                </c:pt>
                <c:pt idx="1">
                  <c:v>8.48</c:v>
                </c:pt>
                <c:pt idx="2">
                  <c:v>9.8000000000000007</c:v>
                </c:pt>
                <c:pt idx="3">
                  <c:v>3.47</c:v>
                </c:pt>
              </c:numCache>
            </c:numRef>
          </c:val>
          <c:smooth val="0"/>
        </c:ser>
        <c:ser>
          <c:idx val="1"/>
          <c:order val="1"/>
          <c:tx>
            <c:strRef>
              <c:f>Sheet16!$C$1</c:f>
              <c:strCache>
                <c:ptCount val="1"/>
                <c:pt idx="0">
                  <c:v>Sum of poverty rate</c:v>
                </c:pt>
              </c:strCache>
            </c:strRef>
          </c:tx>
          <c:cat>
            <c:strRef>
              <c:f>Sheet16!$A$2:$A$6</c:f>
              <c:strCache>
                <c:ptCount val="4"/>
                <c:pt idx="0">
                  <c:v>India</c:v>
                </c:pt>
                <c:pt idx="1">
                  <c:v>Spain</c:v>
                </c:pt>
                <c:pt idx="2">
                  <c:v>UK</c:v>
                </c:pt>
                <c:pt idx="3">
                  <c:v>USA</c:v>
                </c:pt>
              </c:strCache>
            </c:strRef>
          </c:cat>
          <c:val>
            <c:numRef>
              <c:f>Sheet16!$C$2:$C$6</c:f>
              <c:numCache>
                <c:formatCode>General</c:formatCode>
                <c:ptCount val="4"/>
                <c:pt idx="0">
                  <c:v>20.8</c:v>
                </c:pt>
                <c:pt idx="1">
                  <c:v>21.5</c:v>
                </c:pt>
                <c:pt idx="2">
                  <c:v>23</c:v>
                </c:pt>
                <c:pt idx="3">
                  <c:v>11.4</c:v>
                </c:pt>
              </c:numCache>
            </c:numRef>
          </c:val>
          <c:smooth val="0"/>
        </c:ser>
        <c:ser>
          <c:idx val="2"/>
          <c:order val="2"/>
          <c:tx>
            <c:strRef>
              <c:f>Sheet16!$D$1</c:f>
              <c:strCache>
                <c:ptCount val="1"/>
                <c:pt idx="0">
                  <c:v>Sum of mortality rate</c:v>
                </c:pt>
              </c:strCache>
            </c:strRef>
          </c:tx>
          <c:cat>
            <c:strRef>
              <c:f>Sheet16!$A$2:$A$6</c:f>
              <c:strCache>
                <c:ptCount val="4"/>
                <c:pt idx="0">
                  <c:v>India</c:v>
                </c:pt>
                <c:pt idx="1">
                  <c:v>Spain</c:v>
                </c:pt>
                <c:pt idx="2">
                  <c:v>UK</c:v>
                </c:pt>
                <c:pt idx="3">
                  <c:v>USA</c:v>
                </c:pt>
              </c:strCache>
            </c:strRef>
          </c:cat>
          <c:val>
            <c:numRef>
              <c:f>Sheet16!$D$2:$D$6</c:f>
              <c:numCache>
                <c:formatCode>General</c:formatCode>
                <c:ptCount val="4"/>
                <c:pt idx="0">
                  <c:v>7.23</c:v>
                </c:pt>
                <c:pt idx="1">
                  <c:v>10.3</c:v>
                </c:pt>
                <c:pt idx="2">
                  <c:v>10.3</c:v>
                </c:pt>
                <c:pt idx="3">
                  <c:v>8.8800000000000008</c:v>
                </c:pt>
              </c:numCache>
            </c:numRef>
          </c:val>
          <c:smooth val="0"/>
        </c:ser>
        <c:dLbls>
          <c:showLegendKey val="0"/>
          <c:showVal val="0"/>
          <c:showCatName val="0"/>
          <c:showSerName val="0"/>
          <c:showPercent val="0"/>
          <c:showBubbleSize val="0"/>
        </c:dLbls>
        <c:marker val="1"/>
        <c:smooth val="0"/>
        <c:axId val="145969152"/>
        <c:axId val="145970688"/>
      </c:lineChart>
      <c:catAx>
        <c:axId val="145969152"/>
        <c:scaling>
          <c:orientation val="minMax"/>
        </c:scaling>
        <c:delete val="0"/>
        <c:axPos val="b"/>
        <c:majorTickMark val="out"/>
        <c:minorTickMark val="none"/>
        <c:tickLblPos val="nextTo"/>
        <c:crossAx val="145970688"/>
        <c:crosses val="autoZero"/>
        <c:auto val="1"/>
        <c:lblAlgn val="ctr"/>
        <c:lblOffset val="100"/>
        <c:noMultiLvlLbl val="0"/>
      </c:catAx>
      <c:valAx>
        <c:axId val="145970688"/>
        <c:scaling>
          <c:orientation val="minMax"/>
        </c:scaling>
        <c:delete val="0"/>
        <c:axPos val="l"/>
        <c:majorGridlines/>
        <c:numFmt formatCode="General" sourceLinked="1"/>
        <c:majorTickMark val="out"/>
        <c:minorTickMark val="none"/>
        <c:tickLblPos val="nextTo"/>
        <c:crossAx val="14596915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13</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2022-02-27T05:21:00Z</dcterms:created>
  <dcterms:modified xsi:type="dcterms:W3CDTF">2022-03-01T08:45:00Z</dcterms:modified>
</cp:coreProperties>
</file>