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charts/_rels/chart2.xml.rels" ContentType="application/vnd.openxmlformats-package.relationship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embeddings/Microsoft_Excel_Worksheet.xlsx" ContentType="application/vnd.openxmlformats-officedocument.spreadsheetml.sheet"/>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rFonts w:ascii="Times New Roman" w:hAnsi="Times New Roman" w:cs="Times New Roman"/>
          <w:b/>
          <w:bCs/>
          <w:lang w:val="en-IN"/>
        </w:rPr>
      </w:pPr>
      <w:r>
        <w:rPr>
          <w:rFonts w:cs="Times New Roman" w:ascii="Times New Roman" w:hAnsi="Times New Roman"/>
          <w:b/>
          <w:bCs/>
          <w:lang w:val="en-IN"/>
        </w:rPr>
        <w:t xml:space="preserve">On Growth and Income Inequality </w:t>
      </w:r>
    </w:p>
    <w:p>
      <w:pPr>
        <w:pStyle w:val="Normal"/>
        <w:spacing w:lineRule="auto" w:line="480"/>
        <w:rPr>
          <w:rFonts w:ascii="Times New Roman" w:hAnsi="Times New Roman" w:cs="Times New Roman"/>
          <w:lang w:val="en-IN"/>
        </w:rPr>
      </w:pPr>
      <w:r>
        <w:rPr>
          <w:rFonts w:cs="Times New Roman" w:ascii="Times New Roman" w:hAnsi="Times New Roman"/>
          <w:b/>
          <w:bCs/>
          <w:lang w:val="en-IN"/>
        </w:rPr>
        <w:t xml:space="preserve">Introduction: </w:t>
      </w:r>
      <w:r>
        <w:rPr>
          <w:rFonts w:cs="Times New Roman" w:ascii="Times New Roman" w:hAnsi="Times New Roman"/>
          <w:lang w:val="en-IN"/>
        </w:rPr>
        <w:t xml:space="preserve"> It can be argued that </w:t>
      </w:r>
      <w:r>
        <w:rPr>
          <w:rFonts w:cs="Times New Roman" w:ascii="Times New Roman" w:hAnsi="Times New Roman"/>
        </w:rPr>
        <w:t xml:space="preserve">the Income level as a measure of “growth” cannot give a </w:t>
      </w:r>
      <w:r>
        <w:rPr>
          <w:rFonts w:cs="Times New Roman" w:ascii="Times New Roman" w:hAnsi="Times New Roman"/>
          <w:lang w:val="en-IN"/>
        </w:rPr>
        <w:t>holistic scenario</w:t>
      </w:r>
      <w:r>
        <w:rPr>
          <w:rFonts w:cs="Times New Roman" w:ascii="Times New Roman" w:hAnsi="Times New Roman"/>
        </w:rPr>
        <w:t xml:space="preserve"> of development. So, we can unarguably</w:t>
      </w:r>
      <w:r>
        <w:rPr>
          <w:rFonts w:cs="Times New Roman" w:ascii="Times New Roman" w:hAnsi="Times New Roman"/>
          <w:lang w:val="en-IN"/>
        </w:rPr>
        <w:t xml:space="preserve"> state that economic development, in its truest sense, cannot be constrained to the level or growth of per capita income. Development has far wider scope than just the GDP of a country. But one needs to realize that although per capita income does not capture all aspects of development “but a weighty assertion that no small set of variables ever captures the complex nature of the development process and that there are always other considerations is not very helpful.”</w:t>
      </w:r>
      <w:r>
        <w:rPr>
          <w:rStyle w:val="FootnoteReference"/>
          <w:rFonts w:cs="Times New Roman" w:ascii="Times New Roman" w:hAnsi="Times New Roman"/>
          <w:lang w:val="en-IN"/>
        </w:rPr>
        <w:footnoteReference w:id="2"/>
      </w:r>
      <w:r>
        <w:rPr>
          <w:rFonts w:cs="Times New Roman" w:ascii="Times New Roman" w:hAnsi="Times New Roman"/>
          <w:lang w:val="en-IN"/>
        </w:rPr>
        <w:t xml:space="preserve"> So we will look at income, namely GNI PC as a metric to look at the income growth and inequality over a span of time.</w:t>
      </w:r>
    </w:p>
    <w:p>
      <w:pPr>
        <w:pStyle w:val="Normal"/>
        <w:spacing w:lineRule="auto" w:line="480"/>
        <w:rPr>
          <w:rFonts w:ascii="Times New Roman" w:hAnsi="Times New Roman" w:cs="Times New Roman"/>
          <w:lang w:val="en-IN"/>
        </w:rPr>
      </w:pPr>
      <w:r>
        <w:rPr>
          <w:rFonts w:cs="Times New Roman" w:ascii="Times New Roman" w:hAnsi="Times New Roman"/>
          <w:lang w:val="en-IN"/>
        </w:rPr>
        <w:t xml:space="preserve">Low per capita incomes are important feature of economic underdevelopment and there is little doubt that the distribution of income across the world’s nations are skewed. Further, for an efficient comparison we must convert various currencies into a single currency, namely the US$. This is the exchange rate method. Before we see the graphical representation of the inequality of various countries, let me briefly point out the advantages of using the PPP. Why PPP? </w:t>
      </w:r>
      <w:r>
        <w:rPr>
          <w:rFonts w:cs="Times New Roman" w:ascii="Times New Roman" w:hAnsi="Times New Roman"/>
        </w:rPr>
        <w:t xml:space="preserve">We look at the Indian context. In a developing nation like India, this is due to the following reasons. I. Census reports are not a good instruments of measuring incomes. While census is a nation-wide effort to understand the population, the income is usually misreported by the people. II. Since India is an agrarian nation, most households have seasonal incomes, thus inconsistent. Most farmers grow for subsistence and private use, thus objectively have zero income. III. Even tax report does not show the real picture. This is because, only a minimum percentage of people pays taxes, and </w:t>
      </w:r>
      <w:r>
        <w:rPr>
          <w:rFonts w:cs="Times New Roman" w:ascii="Times New Roman" w:hAnsi="Times New Roman"/>
          <w:lang w:val="en-IN"/>
        </w:rPr>
        <w:t>there is a greater incentive to underreport income or output for tax purposes.</w:t>
      </w:r>
      <w:r>
        <w:rPr>
          <w:rFonts w:cs="Times New Roman" w:ascii="Times New Roman" w:hAnsi="Times New Roman"/>
        </w:rPr>
        <w:t xml:space="preserve"> The problem of misreporting can be extrapolated to the nations across the world and thus question the fundamental understanding of relationship between Income growth and development. But nonetheless, the </w:t>
      </w:r>
      <w:r>
        <w:rPr>
          <w:rFonts w:cs="Times New Roman" w:ascii="Times New Roman" w:hAnsi="Times New Roman"/>
          <w:lang w:val="en-IN"/>
        </w:rPr>
        <w:t>features of economic development—health, life expectancy, literacy, and so on—follow in some natural way from the growth of per capita income.</w:t>
      </w:r>
      <w:r>
        <w:rPr>
          <w:rStyle w:val="FootnoteReference"/>
          <w:rFonts w:cs="Times New Roman" w:ascii="Times New Roman" w:hAnsi="Times New Roman"/>
          <w:lang w:val="en-IN"/>
        </w:rPr>
        <w:footnoteReference w:id="3"/>
      </w:r>
      <w:r>
        <w:rPr>
          <w:rFonts w:cs="Times New Roman" w:ascii="Times New Roman" w:hAnsi="Times New Roman"/>
          <w:lang w:val="en-IN"/>
        </w:rPr>
        <w:t xml:space="preserve"> And GNI per capita PPP gives a better estimation. By assigning international prices to a basket of goods and then estimating incomes relative to those prices, we’re carrying out a comparison that maintains “purchasing power parity”. In his book Development Economic, Debraj Ray have graphically showed how PPP gives a better picture when it comes to income growth and inequalities.</w:t>
      </w:r>
      <w:r>
        <w:rPr>
          <w:rStyle w:val="FootnoteReference"/>
          <w:rFonts w:cs="Times New Roman" w:ascii="Times New Roman" w:hAnsi="Times New Roman"/>
          <w:lang w:val="en-IN"/>
        </w:rPr>
        <w:footnoteReference w:id="4"/>
      </w:r>
      <w:r>
        <w:rPr>
          <w:rFonts w:cs="Times New Roman" w:ascii="Times New Roman" w:hAnsi="Times New Roman"/>
          <w:lang w:val="en-IN"/>
        </w:rPr>
        <w:t xml:space="preserve"> The disparity in income is staggering. The disparity in income has further implication when we see these numbers over a span of years. </w:t>
      </w:r>
    </w:p>
    <w:p>
      <w:pPr>
        <w:pStyle w:val="Normal"/>
        <w:spacing w:lineRule="auto" w:line="480" w:before="0" w:after="0"/>
        <w:rPr>
          <w:rFonts w:ascii="Times New Roman" w:hAnsi="Times New Roman" w:cs="Times New Roman"/>
          <w:lang w:val="en-IN"/>
        </w:rPr>
      </w:pPr>
      <w:r>
        <w:rPr>
          <w:rFonts w:cs="Times New Roman" w:ascii="Times New Roman" w:hAnsi="Times New Roman"/>
          <w:b/>
          <w:bCs/>
          <w:lang w:val="en-IN"/>
        </w:rPr>
        <w:t xml:space="preserve">Implication of Income disparity on “Growth”: </w:t>
      </w:r>
      <w:r>
        <w:rPr>
          <w:rFonts w:cs="Times New Roman" w:ascii="Times New Roman" w:hAnsi="Times New Roman"/>
          <w:lang w:val="en-IN"/>
        </w:rPr>
        <w:t xml:space="preserve">By growth, we do not mean overall growth, as we cannot have a holistic view of growth through just Income. Nevertheless, we compare these disparities, of top 10% and bottom 10% countries and look at their “growth” in couple of decades. In table 1(c), we look at the growth rate of the richest and poorest countries. </w:t>
      </w:r>
    </w:p>
    <w:tbl>
      <w:tblPr>
        <w:tblStyle w:val="TableGrid"/>
        <w:tblW w:w="83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42"/>
        <w:gridCol w:w="1843"/>
        <w:gridCol w:w="1844"/>
        <w:gridCol w:w="1700"/>
      </w:tblGrid>
      <w:tr>
        <w:trPr>
          <w:trHeight w:val="300" w:hRule="atLeast"/>
        </w:trPr>
        <w:tc>
          <w:tcPr>
            <w:tcW w:w="2942"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Table 1.1</w:t>
            </w:r>
          </w:p>
        </w:tc>
        <w:tc>
          <w:tcPr>
            <w:tcW w:w="1843"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2000(year)</w:t>
            </w:r>
          </w:p>
        </w:tc>
        <w:tc>
          <w:tcPr>
            <w:tcW w:w="1844"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2011(year)</w:t>
            </w:r>
          </w:p>
        </w:tc>
        <w:tc>
          <w:tcPr>
            <w:tcW w:w="1700"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2019(year)</w:t>
            </w:r>
          </w:p>
        </w:tc>
      </w:tr>
      <w:tr>
        <w:trPr>
          <w:trHeight w:val="288" w:hRule="atLeast"/>
        </w:trPr>
        <w:tc>
          <w:tcPr>
            <w:tcW w:w="2942"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Growth Rate (bottom 10%)</w:t>
            </w:r>
          </w:p>
        </w:tc>
        <w:tc>
          <w:tcPr>
            <w:tcW w:w="1843"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0.080732421</w:t>
            </w:r>
          </w:p>
        </w:tc>
        <w:tc>
          <w:tcPr>
            <w:tcW w:w="1844"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0.085803631</w:t>
            </w:r>
          </w:p>
        </w:tc>
        <w:tc>
          <w:tcPr>
            <w:tcW w:w="1700"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0.092173735</w:t>
            </w:r>
          </w:p>
        </w:tc>
      </w:tr>
      <w:tr>
        <w:trPr>
          <w:trHeight w:val="300" w:hRule="atLeast"/>
        </w:trPr>
        <w:tc>
          <w:tcPr>
            <w:tcW w:w="2942"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Growth Rate (top 10%)</w:t>
            </w:r>
          </w:p>
        </w:tc>
        <w:tc>
          <w:tcPr>
            <w:tcW w:w="1843"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4.03152912</w:t>
            </w:r>
          </w:p>
        </w:tc>
        <w:tc>
          <w:tcPr>
            <w:tcW w:w="1844"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3.594958242</w:t>
            </w:r>
          </w:p>
        </w:tc>
        <w:tc>
          <w:tcPr>
            <w:tcW w:w="1700" w:type="dxa"/>
            <w:tcBorders/>
          </w:tcPr>
          <w:p>
            <w:pPr>
              <w:pStyle w:val="Normal"/>
              <w:widowControl/>
              <w:spacing w:lineRule="auto" w:line="48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3.249256943</w:t>
            </w:r>
          </w:p>
        </w:tc>
      </w:tr>
    </w:tbl>
    <w:p>
      <w:pPr>
        <w:pStyle w:val="Normal"/>
        <w:spacing w:lineRule="auto" w:line="480" w:before="0" w:after="0"/>
        <w:rPr>
          <w:rFonts w:ascii="Times New Roman" w:hAnsi="Times New Roman" w:cs="Times New Roman"/>
          <w:lang w:val="en-IN"/>
        </w:rPr>
      </w:pPr>
      <w:r>
        <w:rPr>
          <w:rFonts w:cs="Times New Roman" w:ascii="Times New Roman" w:hAnsi="Times New Roman"/>
          <w:lang w:val="en-IN"/>
        </w:rPr>
      </w:r>
    </w:p>
    <w:p>
      <w:pPr>
        <w:pStyle w:val="Normal"/>
        <w:spacing w:lineRule="auto" w:line="480" w:before="0" w:after="0"/>
        <w:rPr>
          <w:rFonts w:ascii="Times New Roman" w:hAnsi="Times New Roman" w:cs="Times New Roman"/>
          <w:lang w:val="en-IN"/>
        </w:rPr>
      </w:pPr>
      <w:r>
        <w:rPr>
          <w:rFonts w:cs="Times New Roman" w:ascii="Times New Roman" w:hAnsi="Times New Roman"/>
          <w:lang w:val="en-IN"/>
        </w:rPr>
        <w:t>In the Table 1.1, we can see that the top 10% countries, in the year 2000 has 4 times the average Gross National Income Per-Capita (GNI PC) PPP while bottom 10% have merely 0.08 times the average GNI PC PPP. The growth rate over the span decreases for the richest 10% nations and increases for the poorest nations. Nevertheless, the disparity in incomes does affect the income growth. The poorer nations show rapid growth. There are certainly many reasons to think that historically low levels of income may be advantageous to rapid growth. New technologies are available from the more developed countries. The capital stock is low relative to labour in poor countries, so the marginal product of capital could well be high.</w:t>
      </w:r>
      <w:r>
        <w:rPr>
          <w:rStyle w:val="FootnoteReference"/>
          <w:rFonts w:cs="Times New Roman" w:ascii="Times New Roman" w:hAnsi="Times New Roman"/>
          <w:lang w:val="en-IN"/>
        </w:rPr>
        <w:footnoteReference w:id="5"/>
      </w:r>
      <w:r>
        <w:rPr>
          <w:rFonts w:cs="Times New Roman" w:ascii="Times New Roman" w:hAnsi="Times New Roman"/>
          <w:lang w:val="en-IN"/>
        </w:rPr>
        <w:t xml:space="preserve"> But it cannot be the case, if an absolute measure like average is considered, that the countries will always grow upward. In the </w:t>
      </w:r>
      <w:r>
        <w:rPr>
          <w:rFonts w:cs="Times New Roman" w:ascii="Times New Roman" w:hAnsi="Times New Roman"/>
          <w:u w:val="single"/>
          <w:lang w:val="en-IN"/>
        </w:rPr>
        <w:t>Graph 2.1</w:t>
      </w:r>
      <w:r>
        <w:rPr>
          <w:rFonts w:cs="Times New Roman" w:ascii="Times New Roman" w:hAnsi="Times New Roman"/>
          <w:lang w:val="en-IN"/>
        </w:rPr>
        <w:t>, we see that the countries, over the two decades have a zig-zag distribution in growth rate. This means that countries can either move upward or could fall downward when the notion of the world average is considered. In the next section we look at the mobility of countries, into different categories.</w:t>
      </w:r>
      <w:r>
        <w:rPr>
          <w:rStyle w:val="FootnoteReference"/>
          <w:rFonts w:cs="Times New Roman" w:ascii="Times New Roman" w:hAnsi="Times New Roman"/>
          <w:lang w:val="en-IN"/>
        </w:rPr>
        <w:footnoteReference w:id="6"/>
      </w:r>
      <w:r>
        <w:rPr>
          <w:rFonts w:cs="Times New Roman" w:ascii="Times New Roman" w:hAnsi="Times New Roman"/>
          <w:lang w:val="en-IN"/>
        </w:rPr>
        <w:t xml:space="preserve"> It is called Mobility Matrix. </w:t>
      </w:r>
    </w:p>
    <w:p>
      <w:pPr>
        <w:pStyle w:val="Normal"/>
        <w:spacing w:lineRule="auto" w:line="480" w:before="0" w:after="0"/>
        <w:rPr>
          <w:rFonts w:ascii="Times New Roman" w:hAnsi="Times New Roman" w:cs="Times New Roman"/>
          <w:lang w:val="en-IN"/>
        </w:rPr>
      </w:pPr>
      <w:r>
        <w:rPr>
          <w:rFonts w:cs="Times New Roman" w:ascii="Times New Roman" w:hAnsi="Times New Roman"/>
          <w:lang w:val="en-IN"/>
        </w:rPr>
        <w:t xml:space="preserve">Implications of Mobility matrix: We can see that middle-income countries have far greater mobility than either the poorest or the richest countries. In the table 3.1 category 3 countries have greater mobility (35%) compared to the extreme categories. On the other hand, the extreme condition shows least mobility. One could imply that the state of underdevelopment or extreme poverty puts countries at a tremendous disadvantage. In general, at low levels of income, the overall tendency seems to be movement in the downward direction. Also, the richest have unfair advantage, and countries in category 5 hardly go down to category 4. But nevertheless, in each scenario, the implications of the mobility matrix are that growth leads to fall in inequality although could be minimal. The richer countries have greater resources to grow faster but there is only some extent to which their growth can be measured, and poor countries have a slower rate of growth, but is relatively higher to their own growth rate. Thus, this further opens the discussion on understanding inequality “growth”. </w:t>
      </w:r>
    </w:p>
    <w:p>
      <w:pPr>
        <w:pStyle w:val="Normal"/>
        <w:spacing w:lineRule="auto" w:line="480"/>
        <w:rPr>
          <w:rFonts w:ascii="Times New Roman" w:hAnsi="Times New Roman" w:cs="Times New Roman"/>
          <w:lang w:val="en-IN"/>
        </w:rPr>
      </w:pPr>
      <w:r>
        <w:rPr>
          <w:rFonts w:cs="Times New Roman" w:ascii="Times New Roman" w:hAnsi="Times New Roman"/>
          <w:b/>
          <w:bCs/>
          <w:lang w:val="en-IN"/>
        </w:rPr>
        <w:t xml:space="preserve">Inequality Analysis: </w:t>
      </w:r>
      <w:r>
        <w:rPr>
          <w:rFonts w:cs="Times New Roman" w:ascii="Times New Roman" w:hAnsi="Times New Roman"/>
          <w:lang w:val="en-IN"/>
        </w:rPr>
        <w:t>From the mobility matrix, we can see that inequality is falling. But variation in some variable across countries should not be necessarily equated with a change in that variable, as a particular country develops over time. This brings us to the arguments that suggest more complex variations in inequality over the course of development. Simon Kuznets, by Kuznets’ graph has shown that inequality first rises and then falls over the course of development.</w:t>
      </w:r>
      <w:r>
        <w:rPr>
          <w:rStyle w:val="FootnoteReference"/>
          <w:rFonts w:cs="Times New Roman" w:ascii="Times New Roman" w:hAnsi="Times New Roman"/>
          <w:lang w:val="en-IN"/>
        </w:rPr>
        <w:footnoteReference w:id="7"/>
      </w:r>
      <w:r>
        <w:rPr>
          <w:rFonts w:cs="Times New Roman" w:ascii="Times New Roman" w:hAnsi="Times New Roman"/>
          <w:lang w:val="en-IN"/>
        </w:rPr>
        <w:t xml:space="preserve"> The graph 4.1 records the income share of the poorest 40% of the population as well as the income share of the richest 20% of the population. The poorest 40% of the population earn, on average, around 10%—perhaps less—of overall income, whereas the richest 20% earn around half of total income.</w:t>
      </w:r>
    </w:p>
    <w:p>
      <w:pPr>
        <w:pStyle w:val="Normal"/>
        <w:spacing w:lineRule="auto" w:line="480"/>
        <w:rPr>
          <w:rFonts w:ascii="Times New Roman" w:hAnsi="Times New Roman" w:cs="Times New Roman"/>
          <w:b/>
          <w:bCs/>
          <w:lang w:val="en-IN"/>
        </w:rPr>
      </w:pPr>
      <w:r>
        <w:rPr>
          <w:rFonts w:cs="Times New Roman" w:ascii="Times New Roman" w:hAnsi="Times New Roman"/>
          <w:b/>
          <w:bCs/>
          <w:lang w:val="en-IN"/>
        </w:rPr>
        <w:t>Implication of Kuznets curve:</w:t>
      </w:r>
      <w:r>
        <w:rPr>
          <w:rFonts w:cs="Times New Roman" w:ascii="Times New Roman" w:hAnsi="Times New Roman"/>
          <w:lang w:val="en-IN"/>
        </w:rPr>
        <w:t xml:space="preserve"> At very low average levels of living, it is difficult to squeeze the income share of the poorest 40% below a certain minimum. So, such poor countries tend to lose on the income growth front. In other terms the inequality increases as the poor nation fails to tap on the growth variables. On the other hand, with the economic development, the richest group in society benefits more than proportionately due to their inherent economic advantage. This situation is reflected in a rise in the income share of the upper segments of the population. The share of the poorest groups tends to fall at the same time, although this does not necessarily mean that their income goes down in absolute terms. At higher levels of per capita income, economic gains tend to be distributed more equally—the poorest groups now catch up in income share. This can also be extrapolated from the mobility matrix exercise. So, we can say that development and some specific notion of growth can, to an extent, work towards equality. But one needs to realize the difference between equality and equity.</w:t>
      </w:r>
    </w:p>
    <w:p>
      <w:pPr>
        <w:pStyle w:val="Normal"/>
        <w:spacing w:lineRule="auto" w:line="480" w:before="0" w:after="0"/>
        <w:rPr>
          <w:rFonts w:ascii="Times New Roman" w:hAnsi="Times New Roman" w:cs="Times New Roman"/>
          <w:b/>
          <w:bCs/>
          <w:lang w:val="en-IN"/>
        </w:rPr>
      </w:pPr>
      <w:r>
        <w:rPr>
          <w:rFonts w:cs="Times New Roman" w:ascii="Times New Roman" w:hAnsi="Times New Roman"/>
          <w:b/>
          <w:bCs/>
          <w:lang w:val="en-IN"/>
        </w:rPr>
        <w:t>Conclusion</w:t>
      </w:r>
    </w:p>
    <w:p>
      <w:pPr>
        <w:pStyle w:val="Normal"/>
        <w:spacing w:lineRule="auto" w:line="480" w:before="0" w:after="0"/>
        <w:rPr>
          <w:rFonts w:ascii="Times New Roman" w:hAnsi="Times New Roman" w:cs="Times New Roman"/>
          <w:lang w:val="en-IN"/>
        </w:rPr>
      </w:pPr>
      <w:r>
        <w:rPr>
          <w:rFonts w:cs="Times New Roman" w:ascii="Times New Roman" w:hAnsi="Times New Roman"/>
        </w:rPr>
        <w:t xml:space="preserve">Lastly, the increasing population, unemployment, lack of education in most parts of the country, lack of health care infrastructure, political sway, high mortality rate and so on are some of the variables which income growth cannot capture. This comes under the human development index analysis. We can, to an extent find a correlation between the HDI and inequality. </w:t>
      </w:r>
      <w:r>
        <w:rPr>
          <w:rFonts w:cs="Times New Roman" w:ascii="Times New Roman" w:hAnsi="Times New Roman"/>
          <w:lang w:val="en-IN"/>
        </w:rPr>
        <w:t xml:space="preserve">Countries that pursue policies of broad-based access to infrastructure and resources, such as health services and education, will likely find that economic growth is distributed relatively equally among the various groups in society. Countries that neglect these features will show a greater tendency toward inequality. </w:t>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drawing>
          <wp:inline distT="0" distB="0" distL="0" distR="0">
            <wp:extent cx="5943600" cy="2106930"/>
            <wp:effectExtent l="0" t="0" r="0" b="0"/>
            <wp:docPr id="1" name="Chart 7"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inline>
        </w:drawing>
      </w:r>
      <w:r>
        <w:rPr>
          <w:rFonts w:cs="Times New Roman" w:ascii="Times New Roman" w:hAnsi="Times New Roman"/>
          <w:lang w:val="en-IN"/>
        </w:rPr>
        <w:t xml:space="preserve">Graph 2.1 Growth rate </w:t>
      </w:r>
    </w:p>
    <w:tbl>
      <w:tblPr>
        <w:tblpPr w:vertAnchor="text" w:horzAnchor="margin" w:tblpXSpec="center" w:leftFromText="180" w:rightFromText="180" w:tblpY="435"/>
        <w:tblW w:w="728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28"/>
        <w:gridCol w:w="960"/>
        <w:gridCol w:w="959"/>
        <w:gridCol w:w="960"/>
        <w:gridCol w:w="961"/>
        <w:gridCol w:w="960"/>
        <w:gridCol w:w="959"/>
      </w:tblGrid>
      <w:tr>
        <w:trPr>
          <w:trHeight w:val="468" w:hRule="atLeast"/>
        </w:trPr>
        <w:tc>
          <w:tcPr>
            <w:tcW w:w="1528" w:type="dxa"/>
            <w:tcBorders>
              <w:top w:val="single" w:sz="8" w:space="0" w:color="000000"/>
              <w:left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rPr>
                <w:rFonts w:ascii="Calibri" w:hAnsi="Calibri" w:eastAsia="Times New Roman" w:cs="Calibri"/>
                <w:color w:val="000000"/>
                <w:lang w:val="en-IN" w:eastAsia="en-IN"/>
              </w:rPr>
            </w:pPr>
            <w:r>
              <w:rPr>
                <w:rFonts w:eastAsia="Times New Roman" w:cs="Calibri"/>
                <w:color w:val="000000"/>
                <w:lang w:val="en-IN" w:eastAsia="en-IN"/>
              </w:rPr>
              <w:t>Category</w:t>
            </w:r>
          </w:p>
        </w:tc>
        <w:tc>
          <w:tcPr>
            <w:tcW w:w="960" w:type="dxa"/>
            <w:tcBorders>
              <w:top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rPr>
                <w:rFonts w:ascii="Calibri" w:hAnsi="Calibri" w:eastAsia="Times New Roman" w:cs="Calibri"/>
                <w:color w:val="000000"/>
                <w:lang w:val="en-IN" w:eastAsia="en-IN"/>
              </w:rPr>
            </w:pPr>
            <w:r>
              <w:rPr>
                <w:rFonts w:eastAsia="Times New Roman" w:cs="Calibri"/>
                <w:color w:val="000000"/>
                <w:lang w:val="en-IN" w:eastAsia="en-IN"/>
              </w:rPr>
              <w:t> </w:t>
            </w:r>
          </w:p>
        </w:tc>
        <w:tc>
          <w:tcPr>
            <w:tcW w:w="959" w:type="dxa"/>
            <w:tcBorders>
              <w:top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1</w:t>
            </w:r>
          </w:p>
        </w:tc>
        <w:tc>
          <w:tcPr>
            <w:tcW w:w="960" w:type="dxa"/>
            <w:tcBorders>
              <w:top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2</w:t>
            </w:r>
          </w:p>
        </w:tc>
        <w:tc>
          <w:tcPr>
            <w:tcW w:w="961" w:type="dxa"/>
            <w:tcBorders>
              <w:top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3</w:t>
            </w:r>
          </w:p>
        </w:tc>
        <w:tc>
          <w:tcPr>
            <w:tcW w:w="960" w:type="dxa"/>
            <w:tcBorders>
              <w:top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4</w:t>
            </w:r>
          </w:p>
        </w:tc>
        <w:tc>
          <w:tcPr>
            <w:tcW w:w="959" w:type="dxa"/>
            <w:tcBorders>
              <w:top w:val="single" w:sz="8" w:space="0" w:color="000000"/>
              <w:bottom w:val="single" w:sz="4" w:space="0" w:color="000000"/>
              <w:right w:val="single" w:sz="8"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5</w:t>
            </w:r>
          </w:p>
        </w:tc>
      </w:tr>
      <w:tr>
        <w:trPr>
          <w:trHeight w:val="468" w:hRule="atLeast"/>
        </w:trPr>
        <w:tc>
          <w:tcPr>
            <w:tcW w:w="1528" w:type="dxa"/>
            <w:tcBorders>
              <w:left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66</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1</w:t>
            </w:r>
          </w:p>
        </w:tc>
        <w:tc>
          <w:tcPr>
            <w:tcW w:w="959"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81.8</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18.2</w:t>
            </w:r>
          </w:p>
        </w:tc>
        <w:tc>
          <w:tcPr>
            <w:tcW w:w="961"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59" w:type="dxa"/>
            <w:tcBorders>
              <w:bottom w:val="single" w:sz="4" w:space="0" w:color="000000"/>
              <w:right w:val="single" w:sz="8"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r>
      <w:tr>
        <w:trPr>
          <w:trHeight w:val="468" w:hRule="atLeast"/>
        </w:trPr>
        <w:tc>
          <w:tcPr>
            <w:tcW w:w="1528" w:type="dxa"/>
            <w:tcBorders>
              <w:left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39</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2</w:t>
            </w:r>
          </w:p>
        </w:tc>
        <w:tc>
          <w:tcPr>
            <w:tcW w:w="959"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5.13</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41</w:t>
            </w:r>
          </w:p>
        </w:tc>
        <w:tc>
          <w:tcPr>
            <w:tcW w:w="961"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53.8</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59" w:type="dxa"/>
            <w:tcBorders>
              <w:bottom w:val="single" w:sz="4" w:space="0" w:color="000000"/>
              <w:right w:val="single" w:sz="8"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r>
      <w:tr>
        <w:trPr>
          <w:trHeight w:val="468" w:hRule="atLeast"/>
        </w:trPr>
        <w:tc>
          <w:tcPr>
            <w:tcW w:w="1528" w:type="dxa"/>
            <w:tcBorders>
              <w:left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55</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3</w:t>
            </w:r>
          </w:p>
        </w:tc>
        <w:tc>
          <w:tcPr>
            <w:tcW w:w="959"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3.64</w:t>
            </w:r>
          </w:p>
        </w:tc>
        <w:tc>
          <w:tcPr>
            <w:tcW w:w="961"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63.6</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32.7</w:t>
            </w:r>
          </w:p>
        </w:tc>
        <w:tc>
          <w:tcPr>
            <w:tcW w:w="959" w:type="dxa"/>
            <w:tcBorders>
              <w:bottom w:val="single" w:sz="4" w:space="0" w:color="000000"/>
              <w:right w:val="single" w:sz="8"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r>
      <w:tr>
        <w:trPr>
          <w:trHeight w:val="468" w:hRule="atLeast"/>
        </w:trPr>
        <w:tc>
          <w:tcPr>
            <w:tcW w:w="1528" w:type="dxa"/>
            <w:tcBorders>
              <w:left w:val="single" w:sz="8" w:space="0" w:color="000000"/>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25</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4</w:t>
            </w:r>
          </w:p>
        </w:tc>
        <w:tc>
          <w:tcPr>
            <w:tcW w:w="959"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61"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24</w:t>
            </w:r>
          </w:p>
        </w:tc>
        <w:tc>
          <w:tcPr>
            <w:tcW w:w="960" w:type="dxa"/>
            <w:tcBorders>
              <w:bottom w:val="single" w:sz="4"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64</w:t>
            </w:r>
          </w:p>
        </w:tc>
        <w:tc>
          <w:tcPr>
            <w:tcW w:w="959" w:type="dxa"/>
            <w:tcBorders>
              <w:bottom w:val="single" w:sz="4" w:space="0" w:color="000000"/>
              <w:right w:val="single" w:sz="8"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12</w:t>
            </w:r>
          </w:p>
        </w:tc>
      </w:tr>
      <w:tr>
        <w:trPr>
          <w:trHeight w:val="480" w:hRule="atLeast"/>
        </w:trPr>
        <w:tc>
          <w:tcPr>
            <w:tcW w:w="1528" w:type="dxa"/>
            <w:tcBorders>
              <w:left w:val="single" w:sz="8" w:space="0" w:color="000000"/>
              <w:bottom w:val="single" w:sz="8"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37</w:t>
            </w:r>
          </w:p>
        </w:tc>
        <w:tc>
          <w:tcPr>
            <w:tcW w:w="960" w:type="dxa"/>
            <w:tcBorders>
              <w:bottom w:val="single" w:sz="8"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5</w:t>
            </w:r>
          </w:p>
        </w:tc>
        <w:tc>
          <w:tcPr>
            <w:tcW w:w="959" w:type="dxa"/>
            <w:tcBorders>
              <w:bottom w:val="single" w:sz="8"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60" w:type="dxa"/>
            <w:tcBorders>
              <w:bottom w:val="single" w:sz="8"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61" w:type="dxa"/>
            <w:tcBorders>
              <w:bottom w:val="single" w:sz="8"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0</w:t>
            </w:r>
          </w:p>
        </w:tc>
        <w:tc>
          <w:tcPr>
            <w:tcW w:w="960" w:type="dxa"/>
            <w:tcBorders>
              <w:bottom w:val="single" w:sz="8" w:space="0" w:color="000000"/>
              <w:right w:val="single" w:sz="4"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5.41</w:t>
            </w:r>
          </w:p>
        </w:tc>
        <w:tc>
          <w:tcPr>
            <w:tcW w:w="959" w:type="dxa"/>
            <w:tcBorders>
              <w:bottom w:val="single" w:sz="8" w:space="0" w:color="000000"/>
              <w:right w:val="single" w:sz="8" w:space="0" w:color="000000"/>
            </w:tcBorders>
            <w:shd w:color="000000" w:fill="F2F2F2" w:val="clear"/>
            <w:vAlign w:val="bottom"/>
          </w:tcPr>
          <w:p>
            <w:pPr>
              <w:pStyle w:val="Normal"/>
              <w:spacing w:lineRule="auto" w:line="480" w:before="0" w:after="0"/>
              <w:jc w:val="right"/>
              <w:rPr>
                <w:rFonts w:ascii="Calibri" w:hAnsi="Calibri" w:eastAsia="Times New Roman" w:cs="Calibri"/>
                <w:color w:val="000000"/>
                <w:lang w:val="en-IN" w:eastAsia="en-IN"/>
              </w:rPr>
            </w:pPr>
            <w:r>
              <w:rPr>
                <w:rFonts w:eastAsia="Times New Roman" w:cs="Calibri"/>
                <w:color w:val="000000"/>
                <w:lang w:val="en-IN" w:eastAsia="en-IN"/>
              </w:rPr>
              <w:t>94.6</w:t>
            </w:r>
          </w:p>
        </w:tc>
      </w:tr>
    </w:tbl>
    <w:p>
      <w:pPr>
        <w:pStyle w:val="Normal"/>
        <w:tabs>
          <w:tab w:val="clear" w:pos="720"/>
          <w:tab w:val="left" w:pos="1188" w:leader="none"/>
        </w:tabs>
        <w:spacing w:lineRule="auto" w:line="480"/>
        <w:rPr>
          <w:rFonts w:ascii="Times New Roman" w:hAnsi="Times New Roman" w:cs="Times New Roman"/>
          <w:lang w:val="en-IN"/>
        </w:rPr>
      </w:pPr>
      <w:r/>
      <w:r>
        <w:rPr>
          <w:rFonts w:cs="Times New Roman" w:ascii="Times New Roman" w:hAnsi="Times New Roman"/>
          <w:lang w:val="en-IN"/>
        </w:rPr>
        <w:t>Table 3.1 Mobility Matrix</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
        <w:rPr>
          <w:rFonts w:cs="Times New Roman" w:ascii="Times New Roman" w:hAnsi="Times New Roman"/>
          <w:lang w:val="en-IN"/>
        </w:rPr>
        <w:drawing>
          <wp:anchor behindDoc="0" distT="0" distB="0" distL="0" distR="0" simplePos="0" locked="0" layoutInCell="1" allowOverlap="1" relativeHeight="3">
            <wp:simplePos x="0" y="0"/>
            <wp:positionH relativeFrom="margin">
              <wp:posOffset>-184785</wp:posOffset>
            </wp:positionH>
            <wp:positionV relativeFrom="paragraph">
              <wp:posOffset>459105</wp:posOffset>
            </wp:positionV>
            <wp:extent cx="4572000" cy="2739390"/>
            <wp:effectExtent l="0" t="0" r="0" b="0"/>
            <wp:wrapSquare wrapText="bothSides"/>
            <wp:docPr id="2" name="Chart 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anchor>
        </w:drawing>
        <w:t xml:space="preserve"> </w:t>
      </w:r>
    </w:p>
    <w:p>
      <w:pPr>
        <w:pStyle w:val="Normal"/>
        <w:spacing w:lineRule="auto" w:line="480"/>
        <w:rPr>
          <w:rFonts w:ascii="Times New Roman" w:hAnsi="Times New Roman" w:cs="Times New Roman"/>
          <w:lang w:val="en-IN"/>
        </w:rPr>
      </w:pPr>
      <w:r>
        <w:rPr>
          <w:rFonts w:cs="Times New Roman" w:ascii="Times New Roman" w:hAnsi="Times New Roman"/>
          <w:lang w:val="en-IN"/>
        </w:rPr>
        <w:t>Graph 4.1Kuznet Curve</w:t>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rPr>
          <w:rFonts w:ascii="Times New Roman" w:hAnsi="Times New Roman" w:cs="Times New Roman"/>
          <w:lang w:val="en-IN"/>
        </w:rPr>
      </w:pPr>
      <w:r>
        <w:rPr>
          <w:rFonts w:cs="Times New Roman" w:ascii="Times New Roman" w:hAnsi="Times New Roman"/>
          <w:lang w:val="en-IN"/>
        </w:rPr>
      </w:r>
    </w:p>
    <w:sdt>
      <w:sdtPr>
        <w:docPartObj>
          <w:docPartGallery w:val="Bibliographies"/>
          <w:docPartUnique w:val="true"/>
        </w:docPartObj>
        <w:id w:val="632209715"/>
      </w:sdtPr>
      <w:sdtContent>
        <w:p>
          <w:pPr>
            <w:pStyle w:val="Heading1"/>
            <w:rPr/>
          </w:pPr>
          <w:r>
            <w:rPr/>
            <w:t>Bibliography</w:t>
          </w:r>
        </w:p>
        <w:p>
          <w:pPr>
            <w:pStyle w:val="Bibliography"/>
            <w:ind w:hanging="720" w:left="720"/>
            <w:rPr>
              <w:sz w:val="24"/>
              <w:szCs w:val="24"/>
            </w:rPr>
          </w:pPr>
          <w:r>
            <w:fldChar w:fldCharType="begin"/>
          </w:r>
          <w:r>
            <w:rPr/>
            <w:instrText xml:space="preserve"> BIBLIOGRAPHY </w:instrText>
          </w:r>
          <w:r>
            <w:rPr/>
            <w:fldChar w:fldCharType="separate"/>
          </w:r>
          <w:r>
            <w:rPr/>
            <w:t xml:space="preserve">Ray, D. (1998). </w:t>
          </w:r>
          <w:r>
            <w:rPr>
              <w:i/>
              <w:iCs/>
            </w:rPr>
            <w:t>Development Economic.</w:t>
          </w:r>
          <w:r>
            <w:rPr/>
            <w:t xml:space="preserve"> New York: Princeton University Press.</w:t>
          </w:r>
        </w:p>
        <w:p>
          <w:pPr>
            <w:pStyle w:val="Normal"/>
            <w:rPr/>
          </w:pPr>
          <w:r>
            <w:rPr/>
          </w:r>
          <w:r>
            <w:rPr/>
            <w:fldChar w:fldCharType="end"/>
          </w:r>
        </w:p>
      </w:sdtContent>
    </w:sdt>
    <w:p>
      <w:pPr>
        <w:pStyle w:val="Normal"/>
        <w:spacing w:lineRule="auto" w:line="480"/>
        <w:rPr>
          <w:rFonts w:ascii="Times New Roman" w:hAnsi="Times New Roman" w:cs="Times New Roman"/>
          <w:lang w:val="en-IN"/>
        </w:rPr>
      </w:pPr>
      <w:r>
        <w:rPr>
          <w:rFonts w:cs="Times New Roman" w:ascii="Times New Roman" w:hAnsi="Times New Roman"/>
          <w:lang w:val="en-IN"/>
        </w:rPr>
      </w:r>
    </w:p>
    <w:p>
      <w:pPr>
        <w:pStyle w:val="Normal"/>
        <w:spacing w:lineRule="auto" w:line="480" w:before="0" w:after="200"/>
        <w:rPr>
          <w:rFonts w:ascii="Times New Roman" w:hAnsi="Times New Roman" w:cs="Times New Roman"/>
          <w:lang w:val="en-IN"/>
        </w:rPr>
      </w:pPr>
      <w:r>
        <w:rPr>
          <w:rFonts w:cs="Times New Roman" w:ascii="Times New Roman" w:hAnsi="Times New Roman"/>
          <w:lang w:val="en-IN"/>
        </w:rPr>
      </w:r>
    </w:p>
    <w:sectPr>
      <w:footerReference w:type="even" r:id="rId4"/>
      <w:footerReference w:type="default" r:id="rId5"/>
      <w:footerReference w:type="first" r:id="rId6"/>
      <w:footnotePr>
        <w:numFmt w:val="decimal"/>
      </w:footnotePr>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1581606"/>
    </w:sdtPr>
    <w:sdtContent>
      <w:p>
        <w:pPr>
          <w:pStyle w:val="Footer"/>
          <w:pBdr>
            <w:top w:val="single" w:sz="4" w:space="1" w:color="D9D9D9" w:themeColor="light1" w:themeShade="d9"/>
          </w:pBdr>
          <w:jc w:val="right"/>
          <w:rPr/>
        </w:pPr>
        <w:r>
          <w:rPr/>
          <w:fldChar w:fldCharType="begin"/>
        </w:r>
        <w:r>
          <w:rPr/>
          <w:instrText xml:space="preserve"> PAGE </w:instrText>
        </w:r>
        <w:r>
          <w:rPr/>
          <w:fldChar w:fldCharType="separate"/>
        </w:r>
        <w:r>
          <w:rPr/>
          <w:t>6</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1581606"/>
    </w:sdtPr>
    <w:sdtContent>
      <w:p>
        <w:pPr>
          <w:pStyle w:val="Footer"/>
          <w:pBdr>
            <w:top w:val="single" w:sz="4" w:space="1" w:color="D9D9D9" w:themeColor="light1" w:themeShade="d9"/>
          </w:pBdr>
          <w:jc w:val="right"/>
          <w:rPr/>
        </w:pPr>
        <w:r>
          <w:rPr/>
          <w:fldChar w:fldCharType="begin"/>
        </w:r>
        <w:r>
          <w:rPr/>
          <w:instrText xml:space="preserve"> PAGE </w:instrText>
        </w:r>
        <w:r>
          <w:rPr/>
          <w:fldChar w:fldCharType="separate"/>
        </w:r>
        <w:r>
          <w:rPr/>
          <w:t>6</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lang w:val="en-IN"/>
        </w:rPr>
      </w:pPr>
      <w:r>
        <w:rPr>
          <w:rStyle w:val="FootnoteCharacters"/>
        </w:rPr>
        <w:footnoteRef/>
      </w:r>
      <w:r>
        <w:rPr/>
        <w:t xml:space="preserve"> </w:t>
      </w:r>
      <w:r>
        <w:rPr/>
        <w:t xml:space="preserve">Ray, D. (1998). </w:t>
      </w:r>
      <w:r>
        <w:rPr>
          <w:i/>
          <w:iCs/>
        </w:rPr>
        <w:t>Development Economic. Pg. 20</w:t>
      </w:r>
    </w:p>
  </w:footnote>
  <w:footnote w:id="3">
    <w:p>
      <w:pPr>
        <w:pStyle w:val="FootnoteText"/>
        <w:rPr>
          <w:lang w:val="en-IN"/>
        </w:rPr>
      </w:pPr>
      <w:r>
        <w:rPr>
          <w:rStyle w:val="FootnoteCharacters"/>
        </w:rPr>
        <w:footnoteRef/>
      </w:r>
      <w:r>
        <w:rPr/>
        <w:t xml:space="preserve"> </w:t>
      </w:r>
      <w:r>
        <w:rPr/>
        <w:t>Ray, D. (1998). Pg.19</w:t>
      </w:r>
    </w:p>
  </w:footnote>
  <w:footnote w:id="4">
    <w:p>
      <w:pPr>
        <w:pStyle w:val="FootnoteText"/>
        <w:rPr>
          <w:lang w:val="en-IN"/>
        </w:rPr>
      </w:pPr>
      <w:r>
        <w:rPr>
          <w:rStyle w:val="FootnoteCharacters"/>
        </w:rPr>
        <w:footnoteRef/>
      </w:r>
      <w:r>
        <w:rPr/>
        <w:t xml:space="preserve"> </w:t>
      </w:r>
      <w:r>
        <w:rPr/>
        <w:t xml:space="preserve">Ray, D. (1998). </w:t>
      </w:r>
      <w:r>
        <w:rPr>
          <w:lang w:val="en-IN"/>
        </w:rPr>
        <w:t>See page 26</w:t>
      </w:r>
    </w:p>
  </w:footnote>
  <w:footnote w:id="5">
    <w:p>
      <w:pPr>
        <w:pStyle w:val="FootnoteText"/>
        <w:rPr>
          <w:lang w:val="en-IN"/>
        </w:rPr>
      </w:pPr>
      <w:r>
        <w:rPr>
          <w:rStyle w:val="FootnoteCharacters"/>
        </w:rPr>
        <w:footnoteRef/>
      </w:r>
      <w:r>
        <w:rPr/>
        <w:t xml:space="preserve"> </w:t>
      </w:r>
      <w:r>
        <w:rPr/>
        <w:t xml:space="preserve">Ray, D. (1998).  </w:t>
      </w:r>
      <w:r>
        <w:rPr>
          <w:lang w:val="en-IN"/>
        </w:rPr>
        <w:t>Pg33</w:t>
      </w:r>
    </w:p>
  </w:footnote>
  <w:footnote w:id="6">
    <w:p>
      <w:pPr>
        <w:pStyle w:val="Normal"/>
        <w:spacing w:lineRule="auto" w:line="480" w:before="0" w:after="200"/>
        <w:rPr>
          <w:lang w:val="en-IN"/>
        </w:rPr>
      </w:pPr>
      <w:r>
        <w:rPr>
          <w:rStyle w:val="FootnoteCharacters"/>
        </w:rPr>
        <w:footnoteRef/>
      </w:r>
      <w:r>
        <w:rPr/>
        <w:t xml:space="preserve"> </w:t>
      </w:r>
      <w:r>
        <w:rPr>
          <w:rFonts w:cs="Times New Roman" w:ascii="Times New Roman" w:hAnsi="Times New Roman"/>
          <w:lang w:val="en-IN"/>
        </w:rPr>
        <w:t>Mobility Matrix have 5 categories: (1) income between a quarter and half the world average (2), income between half the world average and the world average (3), income between the world average and twice the world average (4), and income more than twice the world average (5). We take two years (2000 and 2019) and look at the mobility of countries in the categories taking the average as the metric.</w:t>
      </w:r>
    </w:p>
  </w:footnote>
  <w:footnote w:id="7">
    <w:p>
      <w:pPr>
        <w:pStyle w:val="FootnoteText"/>
        <w:rPr>
          <w:lang w:val="en-IN"/>
        </w:rPr>
      </w:pPr>
      <w:r>
        <w:rPr>
          <w:rStyle w:val="FootnoteCharacters"/>
        </w:rPr>
        <w:footnoteRef/>
      </w:r>
      <w:r>
        <w:rPr/>
        <w:t xml:space="preserve"> </w:t>
      </w:r>
      <w:r>
        <w:rPr/>
        <w:t>Ray, D. (1998). Pg. 36</w:t>
      </w:r>
    </w:p>
  </w:footnote>
</w:footnotes>
</file>

<file path=word/settings.xml><?xml version="1.0" encoding="utf-8"?>
<w:settings xmlns:w="http://schemas.openxmlformats.org/wordprocessingml/2006/main">
  <w:zoom w:percent="7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72949"/>
    <w:pPr>
      <w:keepNext w:val="true"/>
      <w:keepLines/>
      <w:spacing w:lineRule="auto" w:line="259" w:before="240" w:after="0"/>
      <w:outlineLvl w:val="0"/>
    </w:pPr>
    <w:rPr>
      <w:rFonts w:ascii="Cambria" w:hAnsi="Cambria" w:eastAsia="" w:cs="" w:asciiTheme="majorHAnsi" w:cstheme="majorBidi" w:eastAsiaTheme="majorEastAsia" w:hAnsiTheme="majorHAnsi"/>
      <w:color w:themeColor="accent1" w:themeShade="bf" w:val="365F91"/>
      <w:sz w:val="32"/>
      <w:szCs w:val="32"/>
    </w:rPr>
  </w:style>
  <w:style w:type="character" w:styleId="DefaultParagraphFont" w:default="1">
    <w:name w:val="Default Paragraph Font"/>
    <w:uiPriority w:val="1"/>
    <w:unhideWhenUsed/>
    <w:qFormat/>
    <w:rPr/>
  </w:style>
  <w:style w:type="character" w:styleId="FootnoteTextChar" w:customStyle="1">
    <w:name w:val="Footnote Text Char"/>
    <w:basedOn w:val="DefaultParagraphFont"/>
    <w:link w:val="FootnoteText"/>
    <w:uiPriority w:val="99"/>
    <w:semiHidden/>
    <w:qFormat/>
    <w:rsid w:val="00c415a8"/>
    <w:rPr>
      <w:sz w:val="20"/>
      <w:szCs w:val="20"/>
    </w:rPr>
  </w:style>
  <w:style w:type="character" w:styleId="FootnoteCharacters">
    <w:name w:val="Footnote Characters"/>
    <w:basedOn w:val="DefaultParagraphFont"/>
    <w:uiPriority w:val="99"/>
    <w:semiHidden/>
    <w:unhideWhenUsed/>
    <w:qFormat/>
    <w:rsid w:val="00c415a8"/>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5b4794"/>
    <w:rPr>
      <w:sz w:val="16"/>
      <w:szCs w:val="16"/>
    </w:rPr>
  </w:style>
  <w:style w:type="character" w:styleId="CommentTextChar" w:customStyle="1">
    <w:name w:val="Comment Text Char"/>
    <w:basedOn w:val="DefaultParagraphFont"/>
    <w:link w:val="AnnotationText"/>
    <w:uiPriority w:val="99"/>
    <w:semiHidden/>
    <w:qFormat/>
    <w:rsid w:val="005b4794"/>
    <w:rPr>
      <w:sz w:val="20"/>
      <w:szCs w:val="20"/>
    </w:rPr>
  </w:style>
  <w:style w:type="character" w:styleId="CommentSubjectChar" w:customStyle="1">
    <w:name w:val="Comment Subject Char"/>
    <w:basedOn w:val="CommentTextChar"/>
    <w:link w:val="annotationsubject"/>
    <w:uiPriority w:val="99"/>
    <w:semiHidden/>
    <w:qFormat/>
    <w:rsid w:val="005b4794"/>
    <w:rPr>
      <w:b/>
      <w:bCs/>
      <w:sz w:val="20"/>
      <w:szCs w:val="20"/>
    </w:rPr>
  </w:style>
  <w:style w:type="character" w:styleId="HeaderChar" w:customStyle="1">
    <w:name w:val="Header Char"/>
    <w:basedOn w:val="DefaultParagraphFont"/>
    <w:link w:val="Header"/>
    <w:uiPriority w:val="99"/>
    <w:qFormat/>
    <w:rsid w:val="00e4196d"/>
    <w:rPr/>
  </w:style>
  <w:style w:type="character" w:styleId="FooterChar" w:customStyle="1">
    <w:name w:val="Footer Char"/>
    <w:basedOn w:val="DefaultParagraphFont"/>
    <w:link w:val="Footer"/>
    <w:uiPriority w:val="99"/>
    <w:qFormat/>
    <w:rsid w:val="00e4196d"/>
    <w:rPr/>
  </w:style>
  <w:style w:type="character" w:styleId="Heading1Char" w:customStyle="1">
    <w:name w:val="Heading 1 Char"/>
    <w:basedOn w:val="DefaultParagraphFont"/>
    <w:link w:val="Heading1"/>
    <w:uiPriority w:val="9"/>
    <w:qFormat/>
    <w:rsid w:val="00872949"/>
    <w:rPr>
      <w:rFonts w:ascii="Cambria" w:hAnsi="Cambria" w:eastAsia="" w:cs="" w:asciiTheme="majorHAnsi" w:cstheme="majorBidi" w:eastAsiaTheme="majorEastAsia" w:hAnsiTheme="majorHAnsi"/>
      <w:color w:themeColor="accent1" w:themeShade="bf" w:val="365F91"/>
      <w:sz w:val="32"/>
      <w:szCs w:val="32"/>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link w:val="FootnoteTextChar"/>
    <w:uiPriority w:val="99"/>
    <w:semiHidden/>
    <w:unhideWhenUsed/>
    <w:rsid w:val="00c415a8"/>
    <w:pPr>
      <w:spacing w:lineRule="auto" w:line="240" w:before="0" w:after="0"/>
    </w:pPr>
    <w:rPr>
      <w:sz w:val="20"/>
      <w:szCs w:val="20"/>
    </w:rPr>
  </w:style>
  <w:style w:type="paragraph" w:styleId="AnnotationText">
    <w:name w:val="Annotation Text"/>
    <w:basedOn w:val="Normal"/>
    <w:link w:val="CommentTextChar"/>
    <w:uiPriority w:val="99"/>
    <w:semiHidden/>
    <w:unhideWhenUsed/>
    <w:rsid w:val="005b479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5b4794"/>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4196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4196d"/>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87294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3f71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chart" Target="charts/chart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notes" Target="footnotes.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charts/_rels/chart2.xml.rels><?xml version="1.0" encoding="UTF-8"?>
<Relationships xmlns="http://schemas.openxmlformats.org/package/2006/relationships"><Relationship Id="rId1" Type="http://schemas.openxmlformats.org/officeDocument/2006/relationships/package" Target="../embeddings/Microsoft_Excel_Worksheet.xlsx"/>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1" lang="en-IN" sz="1600" spc="-1" strike="noStrike">
                <a:solidFill>
                  <a:srgbClr val="808080"/>
                </a:solidFill>
                <a:latin typeface="Cambria"/>
              </a:defRPr>
            </a:pPr>
            <a:r>
              <a:rPr b="1" lang="en-IN" sz="1600" spc="-1" strike="noStrike">
                <a:solidFill>
                  <a:srgbClr val="808080"/>
                </a:solidFill>
                <a:latin typeface="Cambria"/>
              </a:rPr>
              <a:t>Growth Rate</a:t>
            </a:r>
          </a:p>
        </c:rich>
      </c:tx>
      <c:overlay val="0"/>
      <c:spPr>
        <a:noFill/>
        <a:ln w="0">
          <a:noFill/>
        </a:ln>
      </c:spPr>
    </c:title>
    <c:autoTitleDeleted val="0"/>
    <c:plotArea>
      <c:lineChart>
        <c:grouping val="standard"/>
        <c:varyColors val="0"/>
        <c:ser>
          <c:idx val="0"/>
          <c:order val="0"/>
          <c:tx>
            <c:strRef>
              <c:f>label 0</c:f>
              <c:strCache>
                <c:ptCount val="1"/>
                <c:pt idx="0">
                  <c:v>2000 [YR2000]</c:v>
                </c:pt>
              </c:strCache>
            </c:strRef>
          </c:tx>
          <c:spPr>
            <a:solidFill>
              <a:srgbClr val="4f81bd"/>
            </a:solidFill>
            <a:ln cap="rnd" w="22320">
              <a:solidFill>
                <a:srgbClr val="4f81bd"/>
              </a:solidFill>
              <a:round/>
            </a:ln>
          </c:spPr>
          <c:marker>
            <c:symbol val="none"/>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37"/>
                <c:pt idx="0">
                  <c:v>Algeria</c:v>
                </c:pt>
                <c:pt idx="1">
                  <c:v>Argentina</c:v>
                </c:pt>
                <c:pt idx="2">
                  <c:v>Armenia</c:v>
                </c:pt>
                <c:pt idx="3">
                  <c:v>Bahamas, The</c:v>
                </c:pt>
                <c:pt idx="4">
                  <c:v>Bangladesh</c:v>
                </c:pt>
                <c:pt idx="5">
                  <c:v>Belarus</c:v>
                </c:pt>
                <c:pt idx="6">
                  <c:v>Belgium</c:v>
                </c:pt>
                <c:pt idx="7">
                  <c:v>Belize</c:v>
                </c:pt>
                <c:pt idx="8">
                  <c:v>Benin</c:v>
                </c:pt>
                <c:pt idx="9">
                  <c:v>Bhutan</c:v>
                </c:pt>
                <c:pt idx="10">
                  <c:v>Bolivia</c:v>
                </c:pt>
                <c:pt idx="11">
                  <c:v>Botswana</c:v>
                </c:pt>
                <c:pt idx="12">
                  <c:v>Brazil</c:v>
                </c:pt>
                <c:pt idx="13">
                  <c:v>Brunei Darussalam</c:v>
                </c:pt>
                <c:pt idx="14">
                  <c:v>Bulgaria</c:v>
                </c:pt>
                <c:pt idx="15">
                  <c:v>Burkina Faso</c:v>
                </c:pt>
                <c:pt idx="16">
                  <c:v>Burundi</c:v>
                </c:pt>
                <c:pt idx="17">
                  <c:v>Cambodia</c:v>
                </c:pt>
                <c:pt idx="18">
                  <c:v>Cameroon</c:v>
                </c:pt>
                <c:pt idx="19">
                  <c:v>Canada</c:v>
                </c:pt>
                <c:pt idx="20">
                  <c:v>Chad</c:v>
                </c:pt>
                <c:pt idx="21">
                  <c:v>Chile</c:v>
                </c:pt>
                <c:pt idx="22">
                  <c:v>China</c:v>
                </c:pt>
                <c:pt idx="23">
                  <c:v>Colombia</c:v>
                </c:pt>
                <c:pt idx="24">
                  <c:v>Congo, Dem. Rep.</c:v>
                </c:pt>
                <c:pt idx="25">
                  <c:v>Congo, Rep.</c:v>
                </c:pt>
                <c:pt idx="26">
                  <c:v>Costa Rica</c:v>
                </c:pt>
                <c:pt idx="27">
                  <c:v>Croatia</c:v>
                </c:pt>
                <c:pt idx="28">
                  <c:v>Cyprus</c:v>
                </c:pt>
                <c:pt idx="29">
                  <c:v>Denmark</c:v>
                </c:pt>
                <c:pt idx="30">
                  <c:v>Dominican Republic</c:v>
                </c:pt>
                <c:pt idx="31">
                  <c:v>Ecuador</c:v>
                </c:pt>
                <c:pt idx="32">
                  <c:v>Egypt, Arab Rep.</c:v>
                </c:pt>
                <c:pt idx="33">
                  <c:v>El Salvador</c:v>
                </c:pt>
                <c:pt idx="34">
                  <c:v>Eswatini</c:v>
                </c:pt>
                <c:pt idx="35">
                  <c:v>Finland</c:v>
                </c:pt>
                <c:pt idx="36">
                  <c:v>France</c:v>
                </c:pt>
                <c:pt idx="37">
                  <c:v>Gabon</c:v>
                </c:pt>
                <c:pt idx="38">
                  <c:v>Germany</c:v>
                </c:pt>
                <c:pt idx="39">
                  <c:v>Guatemala</c:v>
                </c:pt>
                <c:pt idx="40">
                  <c:v>Haiti</c:v>
                </c:pt>
                <c:pt idx="41">
                  <c:v>Honduras</c:v>
                </c:pt>
                <c:pt idx="42">
                  <c:v>India</c:v>
                </c:pt>
                <c:pt idx="43">
                  <c:v>Iran, Islamic Rep.</c:v>
                </c:pt>
                <c:pt idx="44">
                  <c:v>Ireland</c:v>
                </c:pt>
                <c:pt idx="45">
                  <c:v>Israel</c:v>
                </c:pt>
                <c:pt idx="46">
                  <c:v>Italy</c:v>
                </c:pt>
                <c:pt idx="47">
                  <c:v>Jordan</c:v>
                </c:pt>
                <c:pt idx="48">
                  <c:v>Kazakhstan</c:v>
                </c:pt>
                <c:pt idx="49">
                  <c:v>Kenya</c:v>
                </c:pt>
                <c:pt idx="50">
                  <c:v>Korea, Rep.</c:v>
                </c:pt>
                <c:pt idx="51">
                  <c:v>Kyrgyz Republic</c:v>
                </c:pt>
                <c:pt idx="52">
                  <c:v>Latvia</c:v>
                </c:pt>
                <c:pt idx="53">
                  <c:v>Lebanon</c:v>
                </c:pt>
                <c:pt idx="54">
                  <c:v>Madagascar</c:v>
                </c:pt>
                <c:pt idx="55">
                  <c:v>Malaysia</c:v>
                </c:pt>
                <c:pt idx="56">
                  <c:v>Mali</c:v>
                </c:pt>
                <c:pt idx="57">
                  <c:v>Mauritania</c:v>
                </c:pt>
                <c:pt idx="58">
                  <c:v>Mexico</c:v>
                </c:pt>
                <c:pt idx="59">
                  <c:v>Moldova</c:v>
                </c:pt>
                <c:pt idx="60">
                  <c:v>Morocco</c:v>
                </c:pt>
                <c:pt idx="61">
                  <c:v>Mozambique</c:v>
                </c:pt>
                <c:pt idx="62">
                  <c:v>Namibia</c:v>
                </c:pt>
                <c:pt idx="63">
                  <c:v>Netherlands</c:v>
                </c:pt>
                <c:pt idx="64">
                  <c:v>New Zealand</c:v>
                </c:pt>
                <c:pt idx="65">
                  <c:v>Nicaragua</c:v>
                </c:pt>
                <c:pt idx="66">
                  <c:v>Niger</c:v>
                </c:pt>
                <c:pt idx="67">
                  <c:v>Nigeria</c:v>
                </c:pt>
                <c:pt idx="68">
                  <c:v>North Macedonia</c:v>
                </c:pt>
                <c:pt idx="69">
                  <c:v>Norway</c:v>
                </c:pt>
                <c:pt idx="70">
                  <c:v>Oman</c:v>
                </c:pt>
                <c:pt idx="71">
                  <c:v>Pakistan</c:v>
                </c:pt>
                <c:pt idx="72">
                  <c:v>Panama</c:v>
                </c:pt>
                <c:pt idx="73">
                  <c:v>Peru</c:v>
                </c:pt>
                <c:pt idx="74">
                  <c:v>Philippines</c:v>
                </c:pt>
                <c:pt idx="75">
                  <c:v>Poland</c:v>
                </c:pt>
                <c:pt idx="76">
                  <c:v>Portugal</c:v>
                </c:pt>
                <c:pt idx="77">
                  <c:v>Puerto Rico</c:v>
                </c:pt>
                <c:pt idx="78">
                  <c:v>Romania</c:v>
                </c:pt>
                <c:pt idx="79">
                  <c:v>Russian Federation</c:v>
                </c:pt>
                <c:pt idx="80">
                  <c:v>Rwanda</c:v>
                </c:pt>
                <c:pt idx="81">
                  <c:v>Senegal</c:v>
                </c:pt>
                <c:pt idx="82">
                  <c:v>Serbia</c:v>
                </c:pt>
                <c:pt idx="83">
                  <c:v>Solomon Islands</c:v>
                </c:pt>
                <c:pt idx="84">
                  <c:v>South Africa</c:v>
                </c:pt>
                <c:pt idx="85">
                  <c:v>Spain</c:v>
                </c:pt>
                <c:pt idx="86">
                  <c:v>Sri Lanka</c:v>
                </c:pt>
                <c:pt idx="87">
                  <c:v>Sudan</c:v>
                </c:pt>
                <c:pt idx="88">
                  <c:v>Sweden</c:v>
                </c:pt>
                <c:pt idx="89">
                  <c:v>Switzerland</c:v>
                </c:pt>
                <c:pt idx="90">
                  <c:v>Tanzania</c:v>
                </c:pt>
                <c:pt idx="91">
                  <c:v>Togo</c:v>
                </c:pt>
                <c:pt idx="92">
                  <c:v>Tunisia</c:v>
                </c:pt>
                <c:pt idx="93">
                  <c:v>Turkey</c:v>
                </c:pt>
                <c:pt idx="94">
                  <c:v>Uganda</c:v>
                </c:pt>
                <c:pt idx="95">
                  <c:v>Ukraine</c:v>
                </c:pt>
                <c:pt idx="96">
                  <c:v>United Kingdom</c:v>
                </c:pt>
                <c:pt idx="97">
                  <c:v>United States</c:v>
                </c:pt>
                <c:pt idx="98">
                  <c:v>Uruguay</c:v>
                </c:pt>
                <c:pt idx="99">
                  <c:v>Vietnam</c:v>
                </c:pt>
                <c:pt idx="100">
                  <c:v>West Bank and Gaza</c:v>
                </c:pt>
                <c:pt idx="101">
                  <c:v>Africa Eastern and Southern</c:v>
                </c:pt>
                <c:pt idx="102">
                  <c:v>Africa Western and Central</c:v>
                </c:pt>
                <c:pt idx="103">
                  <c:v>Central Europe and the Baltics</c:v>
                </c:pt>
                <c:pt idx="104">
                  <c:v>Early-demographic dividend</c:v>
                </c:pt>
                <c:pt idx="105">
                  <c:v>East Asia &amp; Pacific (excluding high income)</c:v>
                </c:pt>
                <c:pt idx="106">
                  <c:v>East Asia &amp; Pacific (IDA &amp; IBRD countries)</c:v>
                </c:pt>
                <c:pt idx="107">
                  <c:v>Euro area</c:v>
                </c:pt>
                <c:pt idx="108">
                  <c:v>Europe &amp; Central Asia</c:v>
                </c:pt>
                <c:pt idx="109">
                  <c:v>Europe &amp; Central Asia (excluding high income)</c:v>
                </c:pt>
                <c:pt idx="110">
                  <c:v>Europe &amp; Central Asia (IDA &amp; IBRD countries)</c:v>
                </c:pt>
                <c:pt idx="111">
                  <c:v>European Union</c:v>
                </c:pt>
                <c:pt idx="112">
                  <c:v>Heavily indebted poor countries (HIPC)</c:v>
                </c:pt>
                <c:pt idx="113">
                  <c:v>High income</c:v>
                </c:pt>
                <c:pt idx="114">
                  <c:v>IBRD only</c:v>
                </c:pt>
                <c:pt idx="115">
                  <c:v>IDA &amp; IBRD total</c:v>
                </c:pt>
                <c:pt idx="116">
                  <c:v>IDA blend</c:v>
                </c:pt>
                <c:pt idx="117">
                  <c:v>IDA total</c:v>
                </c:pt>
                <c:pt idx="118">
                  <c:v>Late-demographic dividend</c:v>
                </c:pt>
                <c:pt idx="119">
                  <c:v>Latin America &amp; Caribbean</c:v>
                </c:pt>
                <c:pt idx="120">
                  <c:v>Latin America &amp; Caribbean (excluding high income)</c:v>
                </c:pt>
                <c:pt idx="121">
                  <c:v>Latin America &amp; the Caribbean (IDA &amp; IBRD countries)</c:v>
                </c:pt>
                <c:pt idx="122">
                  <c:v>Low &amp; middle income</c:v>
                </c:pt>
                <c:pt idx="123">
                  <c:v>Lower middle income</c:v>
                </c:pt>
                <c:pt idx="124">
                  <c:v>Middle East &amp; North Africa (excluding high income)</c:v>
                </c:pt>
                <c:pt idx="125">
                  <c:v>Middle East &amp; North Africa (IDA &amp; IBRD countries)</c:v>
                </c:pt>
                <c:pt idx="126">
                  <c:v>Middle income</c:v>
                </c:pt>
                <c:pt idx="127">
                  <c:v>North America</c:v>
                </c:pt>
                <c:pt idx="128">
                  <c:v>OECD members</c:v>
                </c:pt>
                <c:pt idx="129">
                  <c:v>Post-demographic dividend</c:v>
                </c:pt>
                <c:pt idx="130">
                  <c:v>Pre-demographic dividend</c:v>
                </c:pt>
                <c:pt idx="131">
                  <c:v>South Asia</c:v>
                </c:pt>
                <c:pt idx="132">
                  <c:v>South Asia (IDA &amp; IBRD)</c:v>
                </c:pt>
                <c:pt idx="133">
                  <c:v>Sub-Saharan Africa</c:v>
                </c:pt>
                <c:pt idx="134">
                  <c:v>Sub-Saharan Africa (excluding high income)</c:v>
                </c:pt>
                <c:pt idx="135">
                  <c:v>Sub-Saharan Africa (IDA &amp; IBRD countries)</c:v>
                </c:pt>
                <c:pt idx="136">
                  <c:v>Upper middle income</c:v>
                </c:pt>
              </c:strCache>
            </c:strRef>
          </c:cat>
          <c:val>
            <c:numRef>
              <c:f>0</c:f>
              <c:numCache>
                <c:formatCode>General</c:formatCode>
                <c:ptCount val="137"/>
                <c:pt idx="0">
                  <c:v>1.69141121457778</c:v>
                </c:pt>
                <c:pt idx="1">
                  <c:v>-1.91700116096739</c:v>
                </c:pt>
                <c:pt idx="2">
                  <c:v>6.48950746334258</c:v>
                </c:pt>
                <c:pt idx="3">
                  <c:v>2.66455077018497</c:v>
                </c:pt>
                <c:pt idx="4">
                  <c:v>3.44408145208746</c:v>
                </c:pt>
                <c:pt idx="5">
                  <c:v>6.21840789162116</c:v>
                </c:pt>
                <c:pt idx="6">
                  <c:v>3.69349719981007</c:v>
                </c:pt>
                <c:pt idx="7">
                  <c:v>8.09777521025382</c:v>
                </c:pt>
                <c:pt idx="8">
                  <c:v>2.72648812875136</c:v>
                </c:pt>
                <c:pt idx="9">
                  <c:v>21.943977764841</c:v>
                </c:pt>
                <c:pt idx="10">
                  <c:v>0.250798246636478</c:v>
                </c:pt>
                <c:pt idx="11">
                  <c:v>-1.6526555697274</c:v>
                </c:pt>
                <c:pt idx="12">
                  <c:v>5.43704426383019</c:v>
                </c:pt>
                <c:pt idx="13">
                  <c:v>0.703316970907181</c:v>
                </c:pt>
                <c:pt idx="14">
                  <c:v>4.24711851074824</c:v>
                </c:pt>
                <c:pt idx="15">
                  <c:v>-1.18960200323009</c:v>
                </c:pt>
                <c:pt idx="16">
                  <c:v>0.237354678483086</c:v>
                </c:pt>
                <c:pt idx="17">
                  <c:v>7.04172088950728</c:v>
                </c:pt>
                <c:pt idx="18">
                  <c:v>-1.12544734316738</c:v>
                </c:pt>
                <c:pt idx="19">
                  <c:v>4.73640996819675</c:v>
                </c:pt>
                <c:pt idx="20">
                  <c:v>-5.76487966375247</c:v>
                </c:pt>
                <c:pt idx="21">
                  <c:v>3.48136978989653</c:v>
                </c:pt>
                <c:pt idx="22">
                  <c:v>7.72349749428456</c:v>
                </c:pt>
                <c:pt idx="23">
                  <c:v>0.733921136310073</c:v>
                </c:pt>
                <c:pt idx="24">
                  <c:v>-2.43281463702765</c:v>
                </c:pt>
                <c:pt idx="25">
                  <c:v>-6.33421989085376</c:v>
                </c:pt>
                <c:pt idx="26">
                  <c:v>0.9612331804165</c:v>
                </c:pt>
                <c:pt idx="27">
                  <c:v>4.15210232860557</c:v>
                </c:pt>
                <c:pt idx="28">
                  <c:v>1.69111482693604</c:v>
                </c:pt>
                <c:pt idx="29">
                  <c:v>2.16994201929796</c:v>
                </c:pt>
                <c:pt idx="30">
                  <c:v>3.29502459504593</c:v>
                </c:pt>
                <c:pt idx="31">
                  <c:v>-1.03903411656674</c:v>
                </c:pt>
                <c:pt idx="32">
                  <c:v>4.2390401092604</c:v>
                </c:pt>
                <c:pt idx="33">
                  <c:v>0.833609381823948</c:v>
                </c:pt>
                <c:pt idx="34">
                  <c:v>-2.59145948840811</c:v>
                </c:pt>
                <c:pt idx="35">
                  <c:v>5.997282999185</c:v>
                </c:pt>
                <c:pt idx="36">
                  <c:v>2.78388264069925</c:v>
                </c:pt>
                <c:pt idx="37">
                  <c:v>-11.2326553629134</c:v>
                </c:pt>
                <c:pt idx="38">
                  <c:v>2.91512893832564</c:v>
                </c:pt>
                <c:pt idx="39">
                  <c:v>1.16541103687294</c:v>
                </c:pt>
                <c:pt idx="40">
                  <c:v>-0.723243056282357</c:v>
                </c:pt>
                <c:pt idx="41">
                  <c:v>3.80573456787533</c:v>
                </c:pt>
                <c:pt idx="42">
                  <c:v>1.74403014308389</c:v>
                </c:pt>
                <c:pt idx="43">
                  <c:v>4.43638103883697</c:v>
                </c:pt>
                <c:pt idx="44">
                  <c:v>7.80653102976542</c:v>
                </c:pt>
                <c:pt idx="45">
                  <c:v>2.65155150845263</c:v>
                </c:pt>
                <c:pt idx="46">
                  <c:v>3.54790529904653</c:v>
                </c:pt>
                <c:pt idx="47">
                  <c:v>5.15386827445315</c:v>
                </c:pt>
                <c:pt idx="48">
                  <c:v>6.88570594663254</c:v>
                </c:pt>
                <c:pt idx="49">
                  <c:v>-1.81443740878302</c:v>
                </c:pt>
                <c:pt idx="50">
                  <c:v>8.69012561301503</c:v>
                </c:pt>
                <c:pt idx="51">
                  <c:v>3.80879780000005</c:v>
                </c:pt>
                <c:pt idx="52">
                  <c:v>7.5796598210555</c:v>
                </c:pt>
                <c:pt idx="53">
                  <c:v>-0.503789531741887</c:v>
                </c:pt>
                <c:pt idx="54">
                  <c:v>1.58891850433443</c:v>
                </c:pt>
                <c:pt idx="55">
                  <c:v>5.1663377997629</c:v>
                </c:pt>
                <c:pt idx="56">
                  <c:v>-2.5414277029128</c:v>
                </c:pt>
                <c:pt idx="57">
                  <c:v>-7.00894486291318</c:v>
                </c:pt>
                <c:pt idx="58">
                  <c:v>3.46680753030472</c:v>
                </c:pt>
                <c:pt idx="59">
                  <c:v>4.32515382596715</c:v>
                </c:pt>
                <c:pt idx="60">
                  <c:v>0.55429789940132</c:v>
                </c:pt>
                <c:pt idx="61">
                  <c:v>-2.78832039963466</c:v>
                </c:pt>
                <c:pt idx="62">
                  <c:v>4.7587112604464</c:v>
                </c:pt>
                <c:pt idx="63">
                  <c:v>3.89125523127724</c:v>
                </c:pt>
                <c:pt idx="64">
                  <c:v>2.57830683449905</c:v>
                </c:pt>
                <c:pt idx="65">
                  <c:v>2.70164438670994</c:v>
                </c:pt>
                <c:pt idx="66">
                  <c:v>-4.50293179970952</c:v>
                </c:pt>
                <c:pt idx="67">
                  <c:v>-5.7166825585816</c:v>
                </c:pt>
                <c:pt idx="68">
                  <c:v>3.83779215943099</c:v>
                </c:pt>
                <c:pt idx="69">
                  <c:v>1.95322064895717</c:v>
                </c:pt>
                <c:pt idx="70">
                  <c:v>5.66424306878449</c:v>
                </c:pt>
                <c:pt idx="71">
                  <c:v>2.04567090045857</c:v>
                </c:pt>
                <c:pt idx="72">
                  <c:v>2.36038646167873</c:v>
                </c:pt>
                <c:pt idx="73">
                  <c:v>0.746683968245023</c:v>
                </c:pt>
                <c:pt idx="74">
                  <c:v>-1.37282387911776</c:v>
                </c:pt>
                <c:pt idx="75">
                  <c:v>5.84674632424193</c:v>
                </c:pt>
                <c:pt idx="76">
                  <c:v>1.80367753738821</c:v>
                </c:pt>
                <c:pt idx="77">
                  <c:v>4.59657866194098</c:v>
                </c:pt>
                <c:pt idx="78">
                  <c:v>3.15125793640169</c:v>
                </c:pt>
                <c:pt idx="79">
                  <c:v>11.6142152557545</c:v>
                </c:pt>
                <c:pt idx="80">
                  <c:v>2.22991424320433</c:v>
                </c:pt>
                <c:pt idx="81">
                  <c:v>1.40837885462348</c:v>
                </c:pt>
                <c:pt idx="82">
                  <c:v>6.38627271054422</c:v>
                </c:pt>
                <c:pt idx="83">
                  <c:v>-14.2023914309596</c:v>
                </c:pt>
                <c:pt idx="84">
                  <c:v>2.74462583908645</c:v>
                </c:pt>
                <c:pt idx="85">
                  <c:v>4.98722125098654</c:v>
                </c:pt>
                <c:pt idx="86">
                  <c:v>5.27173560002048</c:v>
                </c:pt>
                <c:pt idx="87">
                  <c:v>2.6794197860681</c:v>
                </c:pt>
                <c:pt idx="88">
                  <c:v>4.83586479484617</c:v>
                </c:pt>
                <c:pt idx="89">
                  <c:v>4.34373599496834</c:v>
                </c:pt>
                <c:pt idx="90">
                  <c:v>1.83336830501636</c:v>
                </c:pt>
                <c:pt idx="91">
                  <c:v>-3.29231045560459</c:v>
                </c:pt>
                <c:pt idx="92">
                  <c:v>3.17564731763338</c:v>
                </c:pt>
                <c:pt idx="93">
                  <c:v>5.26485344289247</c:v>
                </c:pt>
                <c:pt idx="94">
                  <c:v>-1.38906889803519</c:v>
                </c:pt>
                <c:pt idx="95">
                  <c:v>6.7452610312029</c:v>
                </c:pt>
                <c:pt idx="96">
                  <c:v>3.84555953044949</c:v>
                </c:pt>
                <c:pt idx="97">
                  <c:v>3.05224733650323</c:v>
                </c:pt>
                <c:pt idx="98">
                  <c:v>-2.36737828796296</c:v>
                </c:pt>
                <c:pt idx="99">
                  <c:v>13.1667218067636</c:v>
                </c:pt>
                <c:pt idx="100">
                  <c:v>-14.6560895181381</c:v>
                </c:pt>
                <c:pt idx="101">
                  <c:v>1.11075786638</c:v>
                </c:pt>
                <c:pt idx="102">
                  <c:v>-4.99808836136205</c:v>
                </c:pt>
                <c:pt idx="103">
                  <c:v>4.52920436939212</c:v>
                </c:pt>
                <c:pt idx="104">
                  <c:v>2.21480056439837</c:v>
                </c:pt>
                <c:pt idx="105">
                  <c:v>7.13032991278833</c:v>
                </c:pt>
                <c:pt idx="106">
                  <c:v>7.12870024425581</c:v>
                </c:pt>
                <c:pt idx="107">
                  <c:v>3.47153040748628</c:v>
                </c:pt>
                <c:pt idx="108">
                  <c:v>4.2725797008347</c:v>
                </c:pt>
                <c:pt idx="109">
                  <c:v>8.46820569783873</c:v>
                </c:pt>
                <c:pt idx="110">
                  <c:v>7.90043534407549</c:v>
                </c:pt>
                <c:pt idx="111">
                  <c:v>3.70939329291711</c:v>
                </c:pt>
                <c:pt idx="112">
                  <c:v>-0.0656212623978547</c:v>
                </c:pt>
                <c:pt idx="113">
                  <c:v>3.40729992682505</c:v>
                </c:pt>
                <c:pt idx="114">
                  <c:v>4.8858536773128</c:v>
                </c:pt>
                <c:pt idx="115">
                  <c:v>4.36900424168793</c:v>
                </c:pt>
                <c:pt idx="116">
                  <c:v>-2.12106873762205</c:v>
                </c:pt>
                <c:pt idx="117">
                  <c:v>-0.638958595795643</c:v>
                </c:pt>
                <c:pt idx="118">
                  <c:v>6.78238911638086</c:v>
                </c:pt>
                <c:pt idx="119">
                  <c:v>3.23371396911982</c:v>
                </c:pt>
                <c:pt idx="120">
                  <c:v>3.36787308889994</c:v>
                </c:pt>
                <c:pt idx="121">
                  <c:v>3.18661012098573</c:v>
                </c:pt>
                <c:pt idx="122">
                  <c:v>4.48477575222897</c:v>
                </c:pt>
                <c:pt idx="123">
                  <c:v>1.84384685275421</c:v>
                </c:pt>
                <c:pt idx="124">
                  <c:v>2.87591661343005</c:v>
                </c:pt>
                <c:pt idx="125">
                  <c:v>3.09090083003967</c:v>
                </c:pt>
                <c:pt idx="126">
                  <c:v>4.63267222938859</c:v>
                </c:pt>
                <c:pt idx="127">
                  <c:v>3.19642377240712</c:v>
                </c:pt>
                <c:pt idx="128">
                  <c:v>3.35995051569549</c:v>
                </c:pt>
                <c:pt idx="129">
                  <c:v>3.50654486400161</c:v>
                </c:pt>
                <c:pt idx="130">
                  <c:v>-3.03609698902932</c:v>
                </c:pt>
                <c:pt idx="131">
                  <c:v>1.95771111961729</c:v>
                </c:pt>
                <c:pt idx="132">
                  <c:v>1.95771111961729</c:v>
                </c:pt>
                <c:pt idx="133">
                  <c:v>-1.17532907219976</c:v>
                </c:pt>
                <c:pt idx="134">
                  <c:v>-1.17553857370952</c:v>
                </c:pt>
                <c:pt idx="135">
                  <c:v>-1.17532907219976</c:v>
                </c:pt>
                <c:pt idx="136">
                  <c:v>5.88566091603229</c:v>
                </c:pt>
              </c:numCache>
            </c:numRef>
          </c:val>
          <c:smooth val="0"/>
        </c:ser>
        <c:ser>
          <c:idx val="1"/>
          <c:order val="1"/>
          <c:tx>
            <c:strRef>
              <c:f>label 1</c:f>
              <c:strCache>
                <c:ptCount val="1"/>
                <c:pt idx="0">
                  <c:v>2011 [YR2011]</c:v>
                </c:pt>
              </c:strCache>
            </c:strRef>
          </c:tx>
          <c:spPr>
            <a:solidFill>
              <a:srgbClr val="c0504d"/>
            </a:solidFill>
            <a:ln cap="rnd" w="22320">
              <a:solidFill>
                <a:srgbClr val="c0504d"/>
              </a:solidFill>
              <a:round/>
            </a:ln>
          </c:spPr>
          <c:marker>
            <c:symbol val="none"/>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37"/>
                <c:pt idx="0">
                  <c:v>Algeria</c:v>
                </c:pt>
                <c:pt idx="1">
                  <c:v>Argentina</c:v>
                </c:pt>
                <c:pt idx="2">
                  <c:v>Armenia</c:v>
                </c:pt>
                <c:pt idx="3">
                  <c:v>Bahamas, The</c:v>
                </c:pt>
                <c:pt idx="4">
                  <c:v>Bangladesh</c:v>
                </c:pt>
                <c:pt idx="5">
                  <c:v>Belarus</c:v>
                </c:pt>
                <c:pt idx="6">
                  <c:v>Belgium</c:v>
                </c:pt>
                <c:pt idx="7">
                  <c:v>Belize</c:v>
                </c:pt>
                <c:pt idx="8">
                  <c:v>Benin</c:v>
                </c:pt>
                <c:pt idx="9">
                  <c:v>Bhutan</c:v>
                </c:pt>
                <c:pt idx="10">
                  <c:v>Bolivia</c:v>
                </c:pt>
                <c:pt idx="11">
                  <c:v>Botswana</c:v>
                </c:pt>
                <c:pt idx="12">
                  <c:v>Brazil</c:v>
                </c:pt>
                <c:pt idx="13">
                  <c:v>Brunei Darussalam</c:v>
                </c:pt>
                <c:pt idx="14">
                  <c:v>Bulgaria</c:v>
                </c:pt>
                <c:pt idx="15">
                  <c:v>Burkina Faso</c:v>
                </c:pt>
                <c:pt idx="16">
                  <c:v>Burundi</c:v>
                </c:pt>
                <c:pt idx="17">
                  <c:v>Cambodia</c:v>
                </c:pt>
                <c:pt idx="18">
                  <c:v>Cameroon</c:v>
                </c:pt>
                <c:pt idx="19">
                  <c:v>Canada</c:v>
                </c:pt>
                <c:pt idx="20">
                  <c:v>Chad</c:v>
                </c:pt>
                <c:pt idx="21">
                  <c:v>Chile</c:v>
                </c:pt>
                <c:pt idx="22">
                  <c:v>China</c:v>
                </c:pt>
                <c:pt idx="23">
                  <c:v>Colombia</c:v>
                </c:pt>
                <c:pt idx="24">
                  <c:v>Congo, Dem. Rep.</c:v>
                </c:pt>
                <c:pt idx="25">
                  <c:v>Congo, Rep.</c:v>
                </c:pt>
                <c:pt idx="26">
                  <c:v>Costa Rica</c:v>
                </c:pt>
                <c:pt idx="27">
                  <c:v>Croatia</c:v>
                </c:pt>
                <c:pt idx="28">
                  <c:v>Cyprus</c:v>
                </c:pt>
                <c:pt idx="29">
                  <c:v>Denmark</c:v>
                </c:pt>
                <c:pt idx="30">
                  <c:v>Dominican Republic</c:v>
                </c:pt>
                <c:pt idx="31">
                  <c:v>Ecuador</c:v>
                </c:pt>
                <c:pt idx="32">
                  <c:v>Egypt, Arab Rep.</c:v>
                </c:pt>
                <c:pt idx="33">
                  <c:v>El Salvador</c:v>
                </c:pt>
                <c:pt idx="34">
                  <c:v>Eswatini</c:v>
                </c:pt>
                <c:pt idx="35">
                  <c:v>Finland</c:v>
                </c:pt>
                <c:pt idx="36">
                  <c:v>France</c:v>
                </c:pt>
                <c:pt idx="37">
                  <c:v>Gabon</c:v>
                </c:pt>
                <c:pt idx="38">
                  <c:v>Germany</c:v>
                </c:pt>
                <c:pt idx="39">
                  <c:v>Guatemala</c:v>
                </c:pt>
                <c:pt idx="40">
                  <c:v>Haiti</c:v>
                </c:pt>
                <c:pt idx="41">
                  <c:v>Honduras</c:v>
                </c:pt>
                <c:pt idx="42">
                  <c:v>India</c:v>
                </c:pt>
                <c:pt idx="43">
                  <c:v>Iran, Islamic Rep.</c:v>
                </c:pt>
                <c:pt idx="44">
                  <c:v>Ireland</c:v>
                </c:pt>
                <c:pt idx="45">
                  <c:v>Israel</c:v>
                </c:pt>
                <c:pt idx="46">
                  <c:v>Italy</c:v>
                </c:pt>
                <c:pt idx="47">
                  <c:v>Jordan</c:v>
                </c:pt>
                <c:pt idx="48">
                  <c:v>Kazakhstan</c:v>
                </c:pt>
                <c:pt idx="49">
                  <c:v>Kenya</c:v>
                </c:pt>
                <c:pt idx="50">
                  <c:v>Korea, Rep.</c:v>
                </c:pt>
                <c:pt idx="51">
                  <c:v>Kyrgyz Republic</c:v>
                </c:pt>
                <c:pt idx="52">
                  <c:v>Latvia</c:v>
                </c:pt>
                <c:pt idx="53">
                  <c:v>Lebanon</c:v>
                </c:pt>
                <c:pt idx="54">
                  <c:v>Madagascar</c:v>
                </c:pt>
                <c:pt idx="55">
                  <c:v>Malaysia</c:v>
                </c:pt>
                <c:pt idx="56">
                  <c:v>Mali</c:v>
                </c:pt>
                <c:pt idx="57">
                  <c:v>Mauritania</c:v>
                </c:pt>
                <c:pt idx="58">
                  <c:v>Mexico</c:v>
                </c:pt>
                <c:pt idx="59">
                  <c:v>Moldova</c:v>
                </c:pt>
                <c:pt idx="60">
                  <c:v>Morocco</c:v>
                </c:pt>
                <c:pt idx="61">
                  <c:v>Mozambique</c:v>
                </c:pt>
                <c:pt idx="62">
                  <c:v>Namibia</c:v>
                </c:pt>
                <c:pt idx="63">
                  <c:v>Netherlands</c:v>
                </c:pt>
                <c:pt idx="64">
                  <c:v>New Zealand</c:v>
                </c:pt>
                <c:pt idx="65">
                  <c:v>Nicaragua</c:v>
                </c:pt>
                <c:pt idx="66">
                  <c:v>Niger</c:v>
                </c:pt>
                <c:pt idx="67">
                  <c:v>Nigeria</c:v>
                </c:pt>
                <c:pt idx="68">
                  <c:v>North Macedonia</c:v>
                </c:pt>
                <c:pt idx="69">
                  <c:v>Norway</c:v>
                </c:pt>
                <c:pt idx="70">
                  <c:v>Oman</c:v>
                </c:pt>
                <c:pt idx="71">
                  <c:v>Pakistan</c:v>
                </c:pt>
                <c:pt idx="72">
                  <c:v>Panama</c:v>
                </c:pt>
                <c:pt idx="73">
                  <c:v>Peru</c:v>
                </c:pt>
                <c:pt idx="74">
                  <c:v>Philippines</c:v>
                </c:pt>
                <c:pt idx="75">
                  <c:v>Poland</c:v>
                </c:pt>
                <c:pt idx="76">
                  <c:v>Portugal</c:v>
                </c:pt>
                <c:pt idx="77">
                  <c:v>Puerto Rico</c:v>
                </c:pt>
                <c:pt idx="78">
                  <c:v>Romania</c:v>
                </c:pt>
                <c:pt idx="79">
                  <c:v>Russian Federation</c:v>
                </c:pt>
                <c:pt idx="80">
                  <c:v>Rwanda</c:v>
                </c:pt>
                <c:pt idx="81">
                  <c:v>Senegal</c:v>
                </c:pt>
                <c:pt idx="82">
                  <c:v>Serbia</c:v>
                </c:pt>
                <c:pt idx="83">
                  <c:v>Solomon Islands</c:v>
                </c:pt>
                <c:pt idx="84">
                  <c:v>South Africa</c:v>
                </c:pt>
                <c:pt idx="85">
                  <c:v>Spain</c:v>
                </c:pt>
                <c:pt idx="86">
                  <c:v>Sri Lanka</c:v>
                </c:pt>
                <c:pt idx="87">
                  <c:v>Sudan</c:v>
                </c:pt>
                <c:pt idx="88">
                  <c:v>Sweden</c:v>
                </c:pt>
                <c:pt idx="89">
                  <c:v>Switzerland</c:v>
                </c:pt>
                <c:pt idx="90">
                  <c:v>Tanzania</c:v>
                </c:pt>
                <c:pt idx="91">
                  <c:v>Togo</c:v>
                </c:pt>
                <c:pt idx="92">
                  <c:v>Tunisia</c:v>
                </c:pt>
                <c:pt idx="93">
                  <c:v>Turkey</c:v>
                </c:pt>
                <c:pt idx="94">
                  <c:v>Uganda</c:v>
                </c:pt>
                <c:pt idx="95">
                  <c:v>Ukraine</c:v>
                </c:pt>
                <c:pt idx="96">
                  <c:v>United Kingdom</c:v>
                </c:pt>
                <c:pt idx="97">
                  <c:v>United States</c:v>
                </c:pt>
                <c:pt idx="98">
                  <c:v>Uruguay</c:v>
                </c:pt>
                <c:pt idx="99">
                  <c:v>Vietnam</c:v>
                </c:pt>
                <c:pt idx="100">
                  <c:v>West Bank and Gaza</c:v>
                </c:pt>
                <c:pt idx="101">
                  <c:v>Africa Eastern and Southern</c:v>
                </c:pt>
                <c:pt idx="102">
                  <c:v>Africa Western and Central</c:v>
                </c:pt>
                <c:pt idx="103">
                  <c:v>Central Europe and the Baltics</c:v>
                </c:pt>
                <c:pt idx="104">
                  <c:v>Early-demographic dividend</c:v>
                </c:pt>
                <c:pt idx="105">
                  <c:v>East Asia &amp; Pacific (excluding high income)</c:v>
                </c:pt>
                <c:pt idx="106">
                  <c:v>East Asia &amp; Pacific (IDA &amp; IBRD countries)</c:v>
                </c:pt>
                <c:pt idx="107">
                  <c:v>Euro area</c:v>
                </c:pt>
                <c:pt idx="108">
                  <c:v>Europe &amp; Central Asia</c:v>
                </c:pt>
                <c:pt idx="109">
                  <c:v>Europe &amp; Central Asia (excluding high income)</c:v>
                </c:pt>
                <c:pt idx="110">
                  <c:v>Europe &amp; Central Asia (IDA &amp; IBRD countries)</c:v>
                </c:pt>
                <c:pt idx="111">
                  <c:v>European Union</c:v>
                </c:pt>
                <c:pt idx="112">
                  <c:v>Heavily indebted poor countries (HIPC)</c:v>
                </c:pt>
                <c:pt idx="113">
                  <c:v>High income</c:v>
                </c:pt>
                <c:pt idx="114">
                  <c:v>IBRD only</c:v>
                </c:pt>
                <c:pt idx="115">
                  <c:v>IDA &amp; IBRD total</c:v>
                </c:pt>
                <c:pt idx="116">
                  <c:v>IDA blend</c:v>
                </c:pt>
                <c:pt idx="117">
                  <c:v>IDA total</c:v>
                </c:pt>
                <c:pt idx="118">
                  <c:v>Late-demographic dividend</c:v>
                </c:pt>
                <c:pt idx="119">
                  <c:v>Latin America &amp; Caribbean</c:v>
                </c:pt>
                <c:pt idx="120">
                  <c:v>Latin America &amp; Caribbean (excluding high income)</c:v>
                </c:pt>
                <c:pt idx="121">
                  <c:v>Latin America &amp; the Caribbean (IDA &amp; IBRD countries)</c:v>
                </c:pt>
                <c:pt idx="122">
                  <c:v>Low &amp; middle income</c:v>
                </c:pt>
                <c:pt idx="123">
                  <c:v>Lower middle income</c:v>
                </c:pt>
                <c:pt idx="124">
                  <c:v>Middle East &amp; North Africa (excluding high income)</c:v>
                </c:pt>
                <c:pt idx="125">
                  <c:v>Middle East &amp; North Africa (IDA &amp; IBRD countries)</c:v>
                </c:pt>
                <c:pt idx="126">
                  <c:v>Middle income</c:v>
                </c:pt>
                <c:pt idx="127">
                  <c:v>North America</c:v>
                </c:pt>
                <c:pt idx="128">
                  <c:v>OECD members</c:v>
                </c:pt>
                <c:pt idx="129">
                  <c:v>Post-demographic dividend</c:v>
                </c:pt>
                <c:pt idx="130">
                  <c:v>Pre-demographic dividend</c:v>
                </c:pt>
                <c:pt idx="131">
                  <c:v>South Asia</c:v>
                </c:pt>
                <c:pt idx="132">
                  <c:v>South Asia (IDA &amp; IBRD)</c:v>
                </c:pt>
                <c:pt idx="133">
                  <c:v>Sub-Saharan Africa</c:v>
                </c:pt>
                <c:pt idx="134">
                  <c:v>Sub-Saharan Africa (excluding high income)</c:v>
                </c:pt>
                <c:pt idx="135">
                  <c:v>Sub-Saharan Africa (IDA &amp; IBRD countries)</c:v>
                </c:pt>
                <c:pt idx="136">
                  <c:v>Upper middle income</c:v>
                </c:pt>
              </c:strCache>
            </c:strRef>
          </c:cat>
          <c:val>
            <c:numRef>
              <c:f>1</c:f>
              <c:numCache>
                <c:formatCode>General</c:formatCode>
                <c:ptCount val="137"/>
                <c:pt idx="0">
                  <c:v>0.182082916952737</c:v>
                </c:pt>
                <c:pt idx="1">
                  <c:v>5.36703527408908</c:v>
                </c:pt>
                <c:pt idx="2">
                  <c:v>3.36022607798168</c:v>
                </c:pt>
                <c:pt idx="3">
                  <c:v>-0.458805787141884</c:v>
                </c:pt>
                <c:pt idx="4">
                  <c:v>5.04518867526424</c:v>
                </c:pt>
                <c:pt idx="5">
                  <c:v>5.07153393909728</c:v>
                </c:pt>
                <c:pt idx="6">
                  <c:v>-0.979423981788173</c:v>
                </c:pt>
                <c:pt idx="7">
                  <c:v>2.73770090909512</c:v>
                </c:pt>
                <c:pt idx="8">
                  <c:v>0.52546800356312</c:v>
                </c:pt>
                <c:pt idx="9">
                  <c:v>5.97103263936852</c:v>
                </c:pt>
                <c:pt idx="10">
                  <c:v>3.87310472906779</c:v>
                </c:pt>
                <c:pt idx="11">
                  <c:v>7.32948372060088</c:v>
                </c:pt>
                <c:pt idx="12">
                  <c:v>3.5504169430574</c:v>
                </c:pt>
                <c:pt idx="13">
                  <c:v>-0.140374034666252</c:v>
                </c:pt>
                <c:pt idx="14">
                  <c:v>1.85930189404115</c:v>
                </c:pt>
                <c:pt idx="15">
                  <c:v>2.24564080345806</c:v>
                </c:pt>
                <c:pt idx="16">
                  <c:v>0.509589457331245</c:v>
                </c:pt>
                <c:pt idx="17">
                  <c:v>5.15424061473533</c:v>
                </c:pt>
                <c:pt idx="18">
                  <c:v>1.2781872613147</c:v>
                </c:pt>
                <c:pt idx="19">
                  <c:v>2.2154307876892</c:v>
                </c:pt>
                <c:pt idx="20">
                  <c:v>-2.45757968304592</c:v>
                </c:pt>
                <c:pt idx="21">
                  <c:v>6.24158799712546</c:v>
                </c:pt>
                <c:pt idx="22">
                  <c:v>8.47752084986465</c:v>
                </c:pt>
                <c:pt idx="23">
                  <c:v>5.13951097776825</c:v>
                </c:pt>
                <c:pt idx="24">
                  <c:v>2.1246511891418</c:v>
                </c:pt>
                <c:pt idx="25">
                  <c:v>-3.45955773297739</c:v>
                </c:pt>
                <c:pt idx="26">
                  <c:v>3.02201275222656</c:v>
                </c:pt>
                <c:pt idx="27">
                  <c:v>0.284633656991289</c:v>
                </c:pt>
                <c:pt idx="28">
                  <c:v>1.89210531961972</c:v>
                </c:pt>
                <c:pt idx="29">
                  <c:v>1.36775570458316</c:v>
                </c:pt>
                <c:pt idx="30">
                  <c:v>1.64023940515337</c:v>
                </c:pt>
                <c:pt idx="31">
                  <c:v>6.09307842482203</c:v>
                </c:pt>
                <c:pt idx="32">
                  <c:v>-1.03154547644205</c:v>
                </c:pt>
                <c:pt idx="33">
                  <c:v>3.26667329696637</c:v>
                </c:pt>
                <c:pt idx="34">
                  <c:v>0.576527736989291</c:v>
                </c:pt>
                <c:pt idx="35">
                  <c:v>1.16132291881024</c:v>
                </c:pt>
                <c:pt idx="36">
                  <c:v>2.01884666304126</c:v>
                </c:pt>
                <c:pt idx="37">
                  <c:v>-1.04684280668612</c:v>
                </c:pt>
                <c:pt idx="38">
                  <c:v>6.41669711732371</c:v>
                </c:pt>
                <c:pt idx="39">
                  <c:v>2.0069435811311</c:v>
                </c:pt>
                <c:pt idx="40">
                  <c:v>4.66721886815797</c:v>
                </c:pt>
                <c:pt idx="41">
                  <c:v>1.0707435931503</c:v>
                </c:pt>
                <c:pt idx="42">
                  <c:v>4.09739151623276</c:v>
                </c:pt>
                <c:pt idx="43">
                  <c:v>1.43741651636866</c:v>
                </c:pt>
                <c:pt idx="44">
                  <c:v>-3.01734122094591</c:v>
                </c:pt>
                <c:pt idx="45">
                  <c:v>3.23594684468725</c:v>
                </c:pt>
                <c:pt idx="46">
                  <c:v>0.495069155400458</c:v>
                </c:pt>
                <c:pt idx="47">
                  <c:v>-2.7464855588252</c:v>
                </c:pt>
                <c:pt idx="48">
                  <c:v>1.60112200050693</c:v>
                </c:pt>
                <c:pt idx="49">
                  <c:v>3.68350219653706</c:v>
                </c:pt>
                <c:pt idx="50">
                  <c:v>3.35255025675532</c:v>
                </c:pt>
                <c:pt idx="51">
                  <c:v>-0.580747571555321</c:v>
                </c:pt>
                <c:pt idx="52">
                  <c:v>7.23274603644721</c:v>
                </c:pt>
                <c:pt idx="53">
                  <c:v>-3.22325684501114</c:v>
                </c:pt>
                <c:pt idx="54">
                  <c:v>-1.0654722241574</c:v>
                </c:pt>
                <c:pt idx="55">
                  <c:v>4.50704368060721</c:v>
                </c:pt>
                <c:pt idx="56">
                  <c:v>0.376372713811051</c:v>
                </c:pt>
                <c:pt idx="57">
                  <c:v>-0.329099472907885</c:v>
                </c:pt>
                <c:pt idx="58">
                  <c:v>1.79992396655189</c:v>
                </c:pt>
                <c:pt idx="59">
                  <c:v>5.59073863738664</c:v>
                </c:pt>
                <c:pt idx="60">
                  <c:v>3.53475822922169</c:v>
                </c:pt>
                <c:pt idx="61">
                  <c:v>6.12760750021984</c:v>
                </c:pt>
                <c:pt idx="62">
                  <c:v>4.39057764646068</c:v>
                </c:pt>
                <c:pt idx="63">
                  <c:v>2.18434471310762</c:v>
                </c:pt>
                <c:pt idx="64">
                  <c:v>1.89735967985838</c:v>
                </c:pt>
                <c:pt idx="65">
                  <c:v>4.94749846765272</c:v>
                </c:pt>
                <c:pt idx="66">
                  <c:v>-0.750067525000603</c:v>
                </c:pt>
                <c:pt idx="67">
                  <c:v>2.65816016694195</c:v>
                </c:pt>
                <c:pt idx="68">
                  <c:v>1.89875767320913</c:v>
                </c:pt>
                <c:pt idx="69">
                  <c:v>-0.412312837270065</c:v>
                </c:pt>
                <c:pt idx="70">
                  <c:v>-4.64174842851092</c:v>
                </c:pt>
                <c:pt idx="71">
                  <c:v>0.989386678835729</c:v>
                </c:pt>
                <c:pt idx="72">
                  <c:v>12.2780204863923</c:v>
                </c:pt>
                <c:pt idx="73">
                  <c:v>5.14765935160982</c:v>
                </c:pt>
                <c:pt idx="74">
                  <c:v>1.46573510630863</c:v>
                </c:pt>
                <c:pt idx="75">
                  <c:v>4.68866153770742</c:v>
                </c:pt>
                <c:pt idx="76">
                  <c:v>0.0205099903554924</c:v>
                </c:pt>
                <c:pt idx="77">
                  <c:v>-0.221005694056899</c:v>
                </c:pt>
                <c:pt idx="78">
                  <c:v>2.30009596181246</c:v>
                </c:pt>
                <c:pt idx="79">
                  <c:v>4.19132528746357</c:v>
                </c:pt>
                <c:pt idx="80">
                  <c:v>5.2863457525761</c:v>
                </c:pt>
                <c:pt idx="81">
                  <c:v>-2.04291628336624</c:v>
                </c:pt>
                <c:pt idx="82">
                  <c:v>0.976434826587763</c:v>
                </c:pt>
                <c:pt idx="83">
                  <c:v>2.23556330159708</c:v>
                </c:pt>
                <c:pt idx="84">
                  <c:v>1.23925701839372</c:v>
                </c:pt>
                <c:pt idx="85">
                  <c:v>-1.46124010251194</c:v>
                </c:pt>
                <c:pt idx="86">
                  <c:v>7.7999023792372</c:v>
                </c:pt>
                <c:pt idx="87">
                  <c:v>11.436314518635</c:v>
                </c:pt>
                <c:pt idx="88">
                  <c:v>1.73577989505071</c:v>
                </c:pt>
                <c:pt idx="89">
                  <c:v>-3.59034714292812</c:v>
                </c:pt>
                <c:pt idx="90">
                  <c:v>4.50049396065968</c:v>
                </c:pt>
                <c:pt idx="91">
                  <c:v>10.0859339778089</c:v>
                </c:pt>
                <c:pt idx="92">
                  <c:v>-2.85527203165074</c:v>
                </c:pt>
                <c:pt idx="93">
                  <c:v>9.50366977322021</c:v>
                </c:pt>
                <c:pt idx="94">
                  <c:v>6.10105298467116</c:v>
                </c:pt>
                <c:pt idx="95">
                  <c:v>4.92811201538206</c:v>
                </c:pt>
                <c:pt idx="96">
                  <c:v>0.808253160506126</c:v>
                </c:pt>
                <c:pt idx="97">
                  <c:v>1.02277121275804</c:v>
                </c:pt>
                <c:pt idx="98">
                  <c:v>5.18061453561998</c:v>
                </c:pt>
                <c:pt idx="99">
                  <c:v>4.59001921923488</c:v>
                </c:pt>
                <c:pt idx="100">
                  <c:v>7.51639297864044</c:v>
                </c:pt>
                <c:pt idx="101">
                  <c:v>1.14253623914497</c:v>
                </c:pt>
                <c:pt idx="102">
                  <c:v>2.00584408744575</c:v>
                </c:pt>
                <c:pt idx="103">
                  <c:v>3.05393628328707</c:v>
                </c:pt>
                <c:pt idx="104">
                  <c:v>3.88429174715448</c:v>
                </c:pt>
                <c:pt idx="105">
                  <c:v>7.59504264761326</c:v>
                </c:pt>
                <c:pt idx="106">
                  <c:v>7.59214173256426</c:v>
                </c:pt>
                <c:pt idx="107">
                  <c:v>2.03081685443894</c:v>
                </c:pt>
                <c:pt idx="108">
                  <c:v>1.99081737240674</c:v>
                </c:pt>
                <c:pt idx="109">
                  <c:v>5.06022283317068</c:v>
                </c:pt>
                <c:pt idx="110">
                  <c:v>4.90118633738538</c:v>
                </c:pt>
                <c:pt idx="111">
                  <c:v>2.08903413769983</c:v>
                </c:pt>
                <c:pt idx="112">
                  <c:v>1.65451271495662</c:v>
                </c:pt>
                <c:pt idx="113">
                  <c:v>1.34422792707798</c:v>
                </c:pt>
                <c:pt idx="114">
                  <c:v>5.07904410437081</c:v>
                </c:pt>
                <c:pt idx="115">
                  <c:v>4.6924161264663</c:v>
                </c:pt>
                <c:pt idx="116">
                  <c:v>2.37241008681201</c:v>
                </c:pt>
                <c:pt idx="117">
                  <c:v>2.63036301121973</c:v>
                </c:pt>
                <c:pt idx="118">
                  <c:v>5.95408318591721</c:v>
                </c:pt>
                <c:pt idx="119">
                  <c:v>3.30819218628106</c:v>
                </c:pt>
                <c:pt idx="120">
                  <c:v>3.45899120959916</c:v>
                </c:pt>
                <c:pt idx="121">
                  <c:v>3.36523716811837</c:v>
                </c:pt>
                <c:pt idx="122">
                  <c:v>4.795693096843</c:v>
                </c:pt>
                <c:pt idx="123">
                  <c:v>3.12173730683962</c:v>
                </c:pt>
                <c:pt idx="124">
                  <c:v>0.921444948171384</c:v>
                </c:pt>
                <c:pt idx="125">
                  <c:v>0.86675932441922</c:v>
                </c:pt>
                <c:pt idx="126">
                  <c:v>4.95068984333484</c:v>
                </c:pt>
                <c:pt idx="127">
                  <c:v>1.13540290974036</c:v>
                </c:pt>
                <c:pt idx="128">
                  <c:v>1.38046004267085</c:v>
                </c:pt>
                <c:pt idx="129">
                  <c:v>1.33247688585236</c:v>
                </c:pt>
                <c:pt idx="130">
                  <c:v>1.89055765435511</c:v>
                </c:pt>
                <c:pt idx="131">
                  <c:v>3.92988160098429</c:v>
                </c:pt>
                <c:pt idx="132">
                  <c:v>3.92988160098429</c:v>
                </c:pt>
                <c:pt idx="133">
                  <c:v>1.5199725076549</c:v>
                </c:pt>
                <c:pt idx="134">
                  <c:v>1.51942562318837</c:v>
                </c:pt>
                <c:pt idx="135">
                  <c:v>1.51997250765486</c:v>
                </c:pt>
                <c:pt idx="136">
                  <c:v>5.95577351107235</c:v>
                </c:pt>
              </c:numCache>
            </c:numRef>
          </c:val>
          <c:smooth val="0"/>
        </c:ser>
        <c:ser>
          <c:idx val="2"/>
          <c:order val="2"/>
          <c:tx>
            <c:strRef>
              <c:f>label 2</c:f>
              <c:strCache>
                <c:ptCount val="1"/>
                <c:pt idx="0">
                  <c:v>2019 [YR2019]</c:v>
                </c:pt>
              </c:strCache>
            </c:strRef>
          </c:tx>
          <c:spPr>
            <a:solidFill>
              <a:srgbClr val="9bbb59"/>
            </a:solidFill>
            <a:ln cap="rnd" w="22320">
              <a:solidFill>
                <a:srgbClr val="9bbb59"/>
              </a:solidFill>
              <a:round/>
            </a:ln>
          </c:spPr>
          <c:marker>
            <c:symbol val="none"/>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37"/>
                <c:pt idx="0">
                  <c:v>Algeria</c:v>
                </c:pt>
                <c:pt idx="1">
                  <c:v>Argentina</c:v>
                </c:pt>
                <c:pt idx="2">
                  <c:v>Armenia</c:v>
                </c:pt>
                <c:pt idx="3">
                  <c:v>Bahamas, The</c:v>
                </c:pt>
                <c:pt idx="4">
                  <c:v>Bangladesh</c:v>
                </c:pt>
                <c:pt idx="5">
                  <c:v>Belarus</c:v>
                </c:pt>
                <c:pt idx="6">
                  <c:v>Belgium</c:v>
                </c:pt>
                <c:pt idx="7">
                  <c:v>Belize</c:v>
                </c:pt>
                <c:pt idx="8">
                  <c:v>Benin</c:v>
                </c:pt>
                <c:pt idx="9">
                  <c:v>Bhutan</c:v>
                </c:pt>
                <c:pt idx="10">
                  <c:v>Bolivia</c:v>
                </c:pt>
                <c:pt idx="11">
                  <c:v>Botswana</c:v>
                </c:pt>
                <c:pt idx="12">
                  <c:v>Brazil</c:v>
                </c:pt>
                <c:pt idx="13">
                  <c:v>Brunei Darussalam</c:v>
                </c:pt>
                <c:pt idx="14">
                  <c:v>Bulgaria</c:v>
                </c:pt>
                <c:pt idx="15">
                  <c:v>Burkina Faso</c:v>
                </c:pt>
                <c:pt idx="16">
                  <c:v>Burundi</c:v>
                </c:pt>
                <c:pt idx="17">
                  <c:v>Cambodia</c:v>
                </c:pt>
                <c:pt idx="18">
                  <c:v>Cameroon</c:v>
                </c:pt>
                <c:pt idx="19">
                  <c:v>Canada</c:v>
                </c:pt>
                <c:pt idx="20">
                  <c:v>Chad</c:v>
                </c:pt>
                <c:pt idx="21">
                  <c:v>Chile</c:v>
                </c:pt>
                <c:pt idx="22">
                  <c:v>China</c:v>
                </c:pt>
                <c:pt idx="23">
                  <c:v>Colombia</c:v>
                </c:pt>
                <c:pt idx="24">
                  <c:v>Congo, Dem. Rep.</c:v>
                </c:pt>
                <c:pt idx="25">
                  <c:v>Congo, Rep.</c:v>
                </c:pt>
                <c:pt idx="26">
                  <c:v>Costa Rica</c:v>
                </c:pt>
                <c:pt idx="27">
                  <c:v>Croatia</c:v>
                </c:pt>
                <c:pt idx="28">
                  <c:v>Cyprus</c:v>
                </c:pt>
                <c:pt idx="29">
                  <c:v>Denmark</c:v>
                </c:pt>
                <c:pt idx="30">
                  <c:v>Dominican Republic</c:v>
                </c:pt>
                <c:pt idx="31">
                  <c:v>Ecuador</c:v>
                </c:pt>
                <c:pt idx="32">
                  <c:v>Egypt, Arab Rep.</c:v>
                </c:pt>
                <c:pt idx="33">
                  <c:v>El Salvador</c:v>
                </c:pt>
                <c:pt idx="34">
                  <c:v>Eswatini</c:v>
                </c:pt>
                <c:pt idx="35">
                  <c:v>Finland</c:v>
                </c:pt>
                <c:pt idx="36">
                  <c:v>France</c:v>
                </c:pt>
                <c:pt idx="37">
                  <c:v>Gabon</c:v>
                </c:pt>
                <c:pt idx="38">
                  <c:v>Germany</c:v>
                </c:pt>
                <c:pt idx="39">
                  <c:v>Guatemala</c:v>
                </c:pt>
                <c:pt idx="40">
                  <c:v>Haiti</c:v>
                </c:pt>
                <c:pt idx="41">
                  <c:v>Honduras</c:v>
                </c:pt>
                <c:pt idx="42">
                  <c:v>India</c:v>
                </c:pt>
                <c:pt idx="43">
                  <c:v>Iran, Islamic Rep.</c:v>
                </c:pt>
                <c:pt idx="44">
                  <c:v>Ireland</c:v>
                </c:pt>
                <c:pt idx="45">
                  <c:v>Israel</c:v>
                </c:pt>
                <c:pt idx="46">
                  <c:v>Italy</c:v>
                </c:pt>
                <c:pt idx="47">
                  <c:v>Jordan</c:v>
                </c:pt>
                <c:pt idx="48">
                  <c:v>Kazakhstan</c:v>
                </c:pt>
                <c:pt idx="49">
                  <c:v>Kenya</c:v>
                </c:pt>
                <c:pt idx="50">
                  <c:v>Korea, Rep.</c:v>
                </c:pt>
                <c:pt idx="51">
                  <c:v>Kyrgyz Republic</c:v>
                </c:pt>
                <c:pt idx="52">
                  <c:v>Latvia</c:v>
                </c:pt>
                <c:pt idx="53">
                  <c:v>Lebanon</c:v>
                </c:pt>
                <c:pt idx="54">
                  <c:v>Madagascar</c:v>
                </c:pt>
                <c:pt idx="55">
                  <c:v>Malaysia</c:v>
                </c:pt>
                <c:pt idx="56">
                  <c:v>Mali</c:v>
                </c:pt>
                <c:pt idx="57">
                  <c:v>Mauritania</c:v>
                </c:pt>
                <c:pt idx="58">
                  <c:v>Mexico</c:v>
                </c:pt>
                <c:pt idx="59">
                  <c:v>Moldova</c:v>
                </c:pt>
                <c:pt idx="60">
                  <c:v>Morocco</c:v>
                </c:pt>
                <c:pt idx="61">
                  <c:v>Mozambique</c:v>
                </c:pt>
                <c:pt idx="62">
                  <c:v>Namibia</c:v>
                </c:pt>
                <c:pt idx="63">
                  <c:v>Netherlands</c:v>
                </c:pt>
                <c:pt idx="64">
                  <c:v>New Zealand</c:v>
                </c:pt>
                <c:pt idx="65">
                  <c:v>Nicaragua</c:v>
                </c:pt>
                <c:pt idx="66">
                  <c:v>Niger</c:v>
                </c:pt>
                <c:pt idx="67">
                  <c:v>Nigeria</c:v>
                </c:pt>
                <c:pt idx="68">
                  <c:v>North Macedonia</c:v>
                </c:pt>
                <c:pt idx="69">
                  <c:v>Norway</c:v>
                </c:pt>
                <c:pt idx="70">
                  <c:v>Oman</c:v>
                </c:pt>
                <c:pt idx="71">
                  <c:v>Pakistan</c:v>
                </c:pt>
                <c:pt idx="72">
                  <c:v>Panama</c:v>
                </c:pt>
                <c:pt idx="73">
                  <c:v>Peru</c:v>
                </c:pt>
                <c:pt idx="74">
                  <c:v>Philippines</c:v>
                </c:pt>
                <c:pt idx="75">
                  <c:v>Poland</c:v>
                </c:pt>
                <c:pt idx="76">
                  <c:v>Portugal</c:v>
                </c:pt>
                <c:pt idx="77">
                  <c:v>Puerto Rico</c:v>
                </c:pt>
                <c:pt idx="78">
                  <c:v>Romania</c:v>
                </c:pt>
                <c:pt idx="79">
                  <c:v>Russian Federation</c:v>
                </c:pt>
                <c:pt idx="80">
                  <c:v>Rwanda</c:v>
                </c:pt>
                <c:pt idx="81">
                  <c:v>Senegal</c:v>
                </c:pt>
                <c:pt idx="82">
                  <c:v>Serbia</c:v>
                </c:pt>
                <c:pt idx="83">
                  <c:v>Solomon Islands</c:v>
                </c:pt>
                <c:pt idx="84">
                  <c:v>South Africa</c:v>
                </c:pt>
                <c:pt idx="85">
                  <c:v>Spain</c:v>
                </c:pt>
                <c:pt idx="86">
                  <c:v>Sri Lanka</c:v>
                </c:pt>
                <c:pt idx="87">
                  <c:v>Sudan</c:v>
                </c:pt>
                <c:pt idx="88">
                  <c:v>Sweden</c:v>
                </c:pt>
                <c:pt idx="89">
                  <c:v>Switzerland</c:v>
                </c:pt>
                <c:pt idx="90">
                  <c:v>Tanzania</c:v>
                </c:pt>
                <c:pt idx="91">
                  <c:v>Togo</c:v>
                </c:pt>
                <c:pt idx="92">
                  <c:v>Tunisia</c:v>
                </c:pt>
                <c:pt idx="93">
                  <c:v>Turkey</c:v>
                </c:pt>
                <c:pt idx="94">
                  <c:v>Uganda</c:v>
                </c:pt>
                <c:pt idx="95">
                  <c:v>Ukraine</c:v>
                </c:pt>
                <c:pt idx="96">
                  <c:v>United Kingdom</c:v>
                </c:pt>
                <c:pt idx="97">
                  <c:v>United States</c:v>
                </c:pt>
                <c:pt idx="98">
                  <c:v>Uruguay</c:v>
                </c:pt>
                <c:pt idx="99">
                  <c:v>Vietnam</c:v>
                </c:pt>
                <c:pt idx="100">
                  <c:v>West Bank and Gaza</c:v>
                </c:pt>
                <c:pt idx="101">
                  <c:v>Africa Eastern and Southern</c:v>
                </c:pt>
                <c:pt idx="102">
                  <c:v>Africa Western and Central</c:v>
                </c:pt>
                <c:pt idx="103">
                  <c:v>Central Europe and the Baltics</c:v>
                </c:pt>
                <c:pt idx="104">
                  <c:v>Early-demographic dividend</c:v>
                </c:pt>
                <c:pt idx="105">
                  <c:v>East Asia &amp; Pacific (excluding high income)</c:v>
                </c:pt>
                <c:pt idx="106">
                  <c:v>East Asia &amp; Pacific (IDA &amp; IBRD countries)</c:v>
                </c:pt>
                <c:pt idx="107">
                  <c:v>Euro area</c:v>
                </c:pt>
                <c:pt idx="108">
                  <c:v>Europe &amp; Central Asia</c:v>
                </c:pt>
                <c:pt idx="109">
                  <c:v>Europe &amp; Central Asia (excluding high income)</c:v>
                </c:pt>
                <c:pt idx="110">
                  <c:v>Europe &amp; Central Asia (IDA &amp; IBRD countries)</c:v>
                </c:pt>
                <c:pt idx="111">
                  <c:v>European Union</c:v>
                </c:pt>
                <c:pt idx="112">
                  <c:v>Heavily indebted poor countries (HIPC)</c:v>
                </c:pt>
                <c:pt idx="113">
                  <c:v>High income</c:v>
                </c:pt>
                <c:pt idx="114">
                  <c:v>IBRD only</c:v>
                </c:pt>
                <c:pt idx="115">
                  <c:v>IDA &amp; IBRD total</c:v>
                </c:pt>
                <c:pt idx="116">
                  <c:v>IDA blend</c:v>
                </c:pt>
                <c:pt idx="117">
                  <c:v>IDA total</c:v>
                </c:pt>
                <c:pt idx="118">
                  <c:v>Late-demographic dividend</c:v>
                </c:pt>
                <c:pt idx="119">
                  <c:v>Latin America &amp; Caribbean</c:v>
                </c:pt>
                <c:pt idx="120">
                  <c:v>Latin America &amp; Caribbean (excluding high income)</c:v>
                </c:pt>
                <c:pt idx="121">
                  <c:v>Latin America &amp; the Caribbean (IDA &amp; IBRD countries)</c:v>
                </c:pt>
                <c:pt idx="122">
                  <c:v>Low &amp; middle income</c:v>
                </c:pt>
                <c:pt idx="123">
                  <c:v>Lower middle income</c:v>
                </c:pt>
                <c:pt idx="124">
                  <c:v>Middle East &amp; North Africa (excluding high income)</c:v>
                </c:pt>
                <c:pt idx="125">
                  <c:v>Middle East &amp; North Africa (IDA &amp; IBRD countries)</c:v>
                </c:pt>
                <c:pt idx="126">
                  <c:v>Middle income</c:v>
                </c:pt>
                <c:pt idx="127">
                  <c:v>North America</c:v>
                </c:pt>
                <c:pt idx="128">
                  <c:v>OECD members</c:v>
                </c:pt>
                <c:pt idx="129">
                  <c:v>Post-demographic dividend</c:v>
                </c:pt>
                <c:pt idx="130">
                  <c:v>Pre-demographic dividend</c:v>
                </c:pt>
                <c:pt idx="131">
                  <c:v>South Asia</c:v>
                </c:pt>
                <c:pt idx="132">
                  <c:v>South Asia (IDA &amp; IBRD)</c:v>
                </c:pt>
                <c:pt idx="133">
                  <c:v>Sub-Saharan Africa</c:v>
                </c:pt>
                <c:pt idx="134">
                  <c:v>Sub-Saharan Africa (excluding high income)</c:v>
                </c:pt>
                <c:pt idx="135">
                  <c:v>Sub-Saharan Africa (IDA &amp; IBRD countries)</c:v>
                </c:pt>
                <c:pt idx="136">
                  <c:v>Upper middle income</c:v>
                </c:pt>
              </c:strCache>
            </c:strRef>
          </c:cat>
          <c:val>
            <c:numRef>
              <c:f>2</c:f>
              <c:numCache>
                <c:formatCode>General</c:formatCode>
                <c:ptCount val="137"/>
                <c:pt idx="0">
                  <c:v>-1.0953682264676</c:v>
                </c:pt>
                <c:pt idx="1">
                  <c:v>-3.39394801581393</c:v>
                </c:pt>
                <c:pt idx="2">
                  <c:v>7.27454790824467</c:v>
                </c:pt>
                <c:pt idx="3">
                  <c:v>2.24074392772178</c:v>
                </c:pt>
                <c:pt idx="4">
                  <c:v>7.18077922934583</c:v>
                </c:pt>
                <c:pt idx="5">
                  <c:v>2.80492733351477</c:v>
                </c:pt>
                <c:pt idx="6">
                  <c:v>1.51365381781589</c:v>
                </c:pt>
                <c:pt idx="7">
                  <c:v>1.28308798261165</c:v>
                </c:pt>
                <c:pt idx="8">
                  <c:v>4.01188442104076</c:v>
                </c:pt>
                <c:pt idx="9">
                  <c:v>4.16706478494977</c:v>
                </c:pt>
                <c:pt idx="10">
                  <c:v>1.18914750403756</c:v>
                </c:pt>
                <c:pt idx="11">
                  <c:v>1.84360977632781</c:v>
                </c:pt>
                <c:pt idx="12">
                  <c:v>0.762739103124901</c:v>
                </c:pt>
                <c:pt idx="13">
                  <c:v>4.89998030363617</c:v>
                </c:pt>
                <c:pt idx="14">
                  <c:v>6.08443669343784</c:v>
                </c:pt>
                <c:pt idx="15">
                  <c:v>2.73350438235384</c:v>
                </c:pt>
                <c:pt idx="16">
                  <c:v>-1.24755230654004</c:v>
                </c:pt>
                <c:pt idx="17">
                  <c:v>6.68922980004716</c:v>
                </c:pt>
                <c:pt idx="18">
                  <c:v>1.04228901355074</c:v>
                </c:pt>
                <c:pt idx="19">
                  <c:v>0.85013714171447</c:v>
                </c:pt>
                <c:pt idx="20">
                  <c:v>0.144321275931205</c:v>
                </c:pt>
                <c:pt idx="21">
                  <c:v>0.730029166028217</c:v>
                </c:pt>
                <c:pt idx="22">
                  <c:v>5.89416225413156</c:v>
                </c:pt>
                <c:pt idx="23">
                  <c:v>2.28585691635954</c:v>
                </c:pt>
                <c:pt idx="24">
                  <c:v>0.996466436906118</c:v>
                </c:pt>
                <c:pt idx="25">
                  <c:v>-8.68841193160922</c:v>
                </c:pt>
                <c:pt idx="26">
                  <c:v>0.632608501394728</c:v>
                </c:pt>
                <c:pt idx="27">
                  <c:v>3.36463462549534</c:v>
                </c:pt>
                <c:pt idx="28">
                  <c:v>1.51197214875749</c:v>
                </c:pt>
                <c:pt idx="29">
                  <c:v>2.6643380609015</c:v>
                </c:pt>
                <c:pt idx="30">
                  <c:v>3.62215124185713</c:v>
                </c:pt>
                <c:pt idx="31">
                  <c:v>-1.83473055028034</c:v>
                </c:pt>
                <c:pt idx="32">
                  <c:v>2.31828661772397</c:v>
                </c:pt>
                <c:pt idx="33">
                  <c:v>2.75986594939566</c:v>
                </c:pt>
                <c:pt idx="34">
                  <c:v>-2.55523463455894</c:v>
                </c:pt>
                <c:pt idx="35">
                  <c:v>1.23328075195124</c:v>
                </c:pt>
                <c:pt idx="36">
                  <c:v>1.15490959130173</c:v>
                </c:pt>
                <c:pt idx="37">
                  <c:v>-0.742497889249904</c:v>
                </c:pt>
                <c:pt idx="38">
                  <c:v>0.344556681712277</c:v>
                </c:pt>
                <c:pt idx="39">
                  <c:v>2.47409030888299</c:v>
                </c:pt>
                <c:pt idx="40">
                  <c:v>-2.86778955096021</c:v>
                </c:pt>
                <c:pt idx="41">
                  <c:v>1.28761341565958</c:v>
                </c:pt>
                <c:pt idx="42">
                  <c:v>3.114625719781</c:v>
                </c:pt>
                <c:pt idx="43">
                  <c:v>-8.38794608423579</c:v>
                </c:pt>
                <c:pt idx="44">
                  <c:v>1.69381687941686</c:v>
                </c:pt>
                <c:pt idx="45">
                  <c:v>1.08076648156981</c:v>
                </c:pt>
                <c:pt idx="46">
                  <c:v>1.23447991003547</c:v>
                </c:pt>
                <c:pt idx="47">
                  <c:v>1.05661077174383</c:v>
                </c:pt>
                <c:pt idx="48">
                  <c:v>2.96608679570831</c:v>
                </c:pt>
                <c:pt idx="49">
                  <c:v>2.62970181331359</c:v>
                </c:pt>
                <c:pt idx="50">
                  <c:v>2.28865013342603</c:v>
                </c:pt>
                <c:pt idx="51">
                  <c:v>-4.58287214511451</c:v>
                </c:pt>
                <c:pt idx="52">
                  <c:v>2.97345227263803</c:v>
                </c:pt>
                <c:pt idx="53">
                  <c:v>-7.28069967504641</c:v>
                </c:pt>
                <c:pt idx="54">
                  <c:v>1.31683665741176</c:v>
                </c:pt>
                <c:pt idx="55">
                  <c:v>3.3914114589636</c:v>
                </c:pt>
                <c:pt idx="56">
                  <c:v>1.05006725701034</c:v>
                </c:pt>
                <c:pt idx="57">
                  <c:v>2.32063758852645</c:v>
                </c:pt>
                <c:pt idx="58">
                  <c:v>-1.3482844827606</c:v>
                </c:pt>
                <c:pt idx="59">
                  <c:v>5.84468122072816</c:v>
                </c:pt>
                <c:pt idx="60">
                  <c:v>1.20113100466813</c:v>
                </c:pt>
                <c:pt idx="61">
                  <c:v>-0.665806936979436</c:v>
                </c:pt>
                <c:pt idx="62">
                  <c:v>-1.86469666690755</c:v>
                </c:pt>
                <c:pt idx="63">
                  <c:v>0.267639472569599</c:v>
                </c:pt>
                <c:pt idx="64">
                  <c:v>1.14062521484659</c:v>
                </c:pt>
                <c:pt idx="65">
                  <c:v>-3.48417630796504</c:v>
                </c:pt>
                <c:pt idx="66">
                  <c:v>2.00408488984051</c:v>
                </c:pt>
                <c:pt idx="67">
                  <c:v>0.863156668486994</c:v>
                </c:pt>
                <c:pt idx="68">
                  <c:v>2.57561151010661</c:v>
                </c:pt>
                <c:pt idx="69">
                  <c:v>-0.744354163785886</c:v>
                </c:pt>
                <c:pt idx="70">
                  <c:v>-4.92354320309238</c:v>
                </c:pt>
                <c:pt idx="71">
                  <c:v>-1.32434536866843</c:v>
                </c:pt>
                <c:pt idx="72">
                  <c:v>1.8122979969968</c:v>
                </c:pt>
                <c:pt idx="73">
                  <c:v>1.32613918206388</c:v>
                </c:pt>
                <c:pt idx="74">
                  <c:v>3.9958750363167</c:v>
                </c:pt>
                <c:pt idx="75">
                  <c:v>4.71588058069284</c:v>
                </c:pt>
                <c:pt idx="76">
                  <c:v>2.3804193882748</c:v>
                </c:pt>
                <c:pt idx="77">
                  <c:v>0.707825222518906</c:v>
                </c:pt>
                <c:pt idx="78">
                  <c:v>5.17179242481403</c:v>
                </c:pt>
                <c:pt idx="79">
                  <c:v>1.30956512094646</c:v>
                </c:pt>
                <c:pt idx="80">
                  <c:v>6.91725177305247</c:v>
                </c:pt>
                <c:pt idx="81">
                  <c:v>1.32733898172826</c:v>
                </c:pt>
                <c:pt idx="82">
                  <c:v>4.43157211584749</c:v>
                </c:pt>
                <c:pt idx="83">
                  <c:v>-1.16462769272616</c:v>
                </c:pt>
                <c:pt idx="84">
                  <c:v>-0.816738279464474</c:v>
                </c:pt>
                <c:pt idx="85">
                  <c:v>1.19037176101402</c:v>
                </c:pt>
                <c:pt idx="86">
                  <c:v>1.51729554794669</c:v>
                </c:pt>
                <c:pt idx="87">
                  <c:v>-6.31205422441276</c:v>
                </c:pt>
                <c:pt idx="88">
                  <c:v>1.3547461784744</c:v>
                </c:pt>
                <c:pt idx="89">
                  <c:v>3.10634678128167</c:v>
                </c:pt>
                <c:pt idx="90">
                  <c:v>5.39598638331755</c:v>
                </c:pt>
                <c:pt idx="91">
                  <c:v>2.97385293463476</c:v>
                </c:pt>
                <c:pt idx="92">
                  <c:v>-0.662578134245834</c:v>
                </c:pt>
                <c:pt idx="93">
                  <c:v>-0.560161048156985</c:v>
                </c:pt>
                <c:pt idx="94">
                  <c:v>3.30947600431098</c:v>
                </c:pt>
                <c:pt idx="95">
                  <c:v>4.28173916738686</c:v>
                </c:pt>
                <c:pt idx="96">
                  <c:v>0.411769810025646</c:v>
                </c:pt>
                <c:pt idx="97">
                  <c:v>1.57554487505965</c:v>
                </c:pt>
                <c:pt idx="98">
                  <c:v>0.70933419151325</c:v>
                </c:pt>
                <c:pt idx="99">
                  <c:v>6.52439146598769</c:v>
                </c:pt>
                <c:pt idx="100">
                  <c:v>-0.456745436718478</c:v>
                </c:pt>
                <c:pt idx="101">
                  <c:v>-1.29400425280186</c:v>
                </c:pt>
                <c:pt idx="102">
                  <c:v>1.06177041490292</c:v>
                </c:pt>
                <c:pt idx="103">
                  <c:v>4.2889168562654</c:v>
                </c:pt>
                <c:pt idx="104">
                  <c:v>0.7175995090535</c:v>
                </c:pt>
                <c:pt idx="105">
                  <c:v>5.47396244589815</c:v>
                </c:pt>
                <c:pt idx="106">
                  <c:v>5.47235499008474</c:v>
                </c:pt>
                <c:pt idx="107">
                  <c:v>1.0516839557899</c:v>
                </c:pt>
                <c:pt idx="108">
                  <c:v>1.15431449470637</c:v>
                </c:pt>
                <c:pt idx="109">
                  <c:v>1.2565996687717</c:v>
                </c:pt>
                <c:pt idx="110">
                  <c:v>1.73077722319879</c:v>
                </c:pt>
                <c:pt idx="111">
                  <c:v>1.42364981382124</c:v>
                </c:pt>
                <c:pt idx="112">
                  <c:v>0.654667420001132</c:v>
                </c:pt>
                <c:pt idx="113">
                  <c:v>1.34123810065705</c:v>
                </c:pt>
                <c:pt idx="114">
                  <c:v>2.956442160696</c:v>
                </c:pt>
                <c:pt idx="115">
                  <c:v>2.57333756167266</c:v>
                </c:pt>
                <c:pt idx="116">
                  <c:v>0.368995322999368</c:v>
                </c:pt>
                <c:pt idx="117">
                  <c:v>1.40654219374754</c:v>
                </c:pt>
                <c:pt idx="118">
                  <c:v>4.16886496478115</c:v>
                </c:pt>
                <c:pt idx="119">
                  <c:v>0.122252616343516</c:v>
                </c:pt>
                <c:pt idx="120">
                  <c:v>-0.0366518523321275</c:v>
                </c:pt>
                <c:pt idx="121">
                  <c:v>0.0984129394663711</c:v>
                </c:pt>
                <c:pt idx="122">
                  <c:v>2.56128633925418</c:v>
                </c:pt>
                <c:pt idx="123">
                  <c:v>1.91361362922142</c:v>
                </c:pt>
                <c:pt idx="124">
                  <c:v>-2.52440333777092</c:v>
                </c:pt>
                <c:pt idx="125">
                  <c:v>-2.54623739038692</c:v>
                </c:pt>
                <c:pt idx="126">
                  <c:v>2.73946143322851</c:v>
                </c:pt>
                <c:pt idx="127">
                  <c:v>1.49922052207413</c:v>
                </c:pt>
                <c:pt idx="128">
                  <c:v>1.19655747230712</c:v>
                </c:pt>
                <c:pt idx="129">
                  <c:v>1.45905092372065</c:v>
                </c:pt>
                <c:pt idx="130">
                  <c:v>0.517647005145989</c:v>
                </c:pt>
                <c:pt idx="131">
                  <c:v>2.91747297314622</c:v>
                </c:pt>
                <c:pt idx="132">
                  <c:v>2.91747297314622</c:v>
                </c:pt>
                <c:pt idx="133">
                  <c:v>-0.211957597454472</c:v>
                </c:pt>
                <c:pt idx="134">
                  <c:v>-0.212111475841354</c:v>
                </c:pt>
                <c:pt idx="135">
                  <c:v>-0.211957597454472</c:v>
                </c:pt>
                <c:pt idx="136">
                  <c:v>3.38629117064801</c:v>
                </c:pt>
              </c:numCache>
            </c:numRef>
          </c:val>
          <c:smooth val="0"/>
        </c:ser>
        <c:hiLowLines>
          <c:spPr>
            <a:ln w="0">
              <a:noFill/>
            </a:ln>
          </c:spPr>
        </c:hiLowLines>
        <c:marker val="0"/>
        <c:axId val="46434792"/>
        <c:axId val="96430453"/>
      </c:lineChart>
      <c:catAx>
        <c:axId val="46434792"/>
        <c:scaling>
          <c:orientation val="minMax"/>
        </c:scaling>
        <c:delete val="0"/>
        <c:axPos val="b"/>
        <c:majorGridlines>
          <c:spPr>
            <a:ln w="9360">
              <a:solidFill>
                <a:srgbClr val="d9d9d9">
                  <a:alpha val="54000"/>
                </a:srgbClr>
              </a:solidFill>
              <a:round/>
            </a:ln>
          </c:spPr>
        </c:majorGridlines>
        <c:minorGridlines>
          <c:spPr>
            <a:ln w="9360">
              <a:solidFill>
                <a:srgbClr val="d9d9d9">
                  <a:alpha val="51000"/>
                </a:srgbClr>
              </a:solidFill>
              <a:round/>
            </a:ln>
          </c:spPr>
        </c:minorGridlines>
        <c:numFmt formatCode="General" sourceLinked="0"/>
        <c:majorTickMark val="none"/>
        <c:minorTickMark val="none"/>
        <c:tickLblPos val="nextTo"/>
        <c:spPr>
          <a:ln w="9360">
            <a:solidFill>
              <a:srgbClr val="d9d9d9"/>
            </a:solidFill>
            <a:round/>
          </a:ln>
        </c:spPr>
        <c:txPr>
          <a:bodyPr/>
          <a:lstStyle/>
          <a:p>
            <a:pPr>
              <a:defRPr b="0" sz="900" spc="-1" strike="noStrike">
                <a:solidFill>
                  <a:srgbClr val="595959"/>
                </a:solidFill>
                <a:latin typeface="Calibri"/>
              </a:defRPr>
            </a:pPr>
          </a:p>
        </c:txPr>
        <c:crossAx val="96430453"/>
        <c:crosses val="autoZero"/>
        <c:auto val="1"/>
        <c:lblAlgn val="ctr"/>
        <c:lblOffset val="100"/>
        <c:noMultiLvlLbl val="0"/>
      </c:catAx>
      <c:valAx>
        <c:axId val="96430453"/>
        <c:scaling>
          <c:orientation val="minMax"/>
        </c:scaling>
        <c:delete val="0"/>
        <c:axPos val="l"/>
        <c:majorGridlines>
          <c:spPr>
            <a:ln w="9360">
              <a:solidFill>
                <a:srgbClr val="d9d9d9">
                  <a:alpha val="54000"/>
                </a:srgbClr>
              </a:solidFill>
              <a:round/>
            </a:ln>
          </c:spPr>
        </c:majorGridlines>
        <c:numFmt formatCode="General" sourceLinked="0"/>
        <c:majorTickMark val="none"/>
        <c:minorTickMark val="none"/>
        <c:tickLblPos val="nextTo"/>
        <c:spPr>
          <a:ln w="9360">
            <a:noFill/>
          </a:ln>
        </c:spPr>
        <c:txPr>
          <a:bodyPr/>
          <a:lstStyle/>
          <a:p>
            <a:pPr>
              <a:defRPr b="0" sz="900" spc="-1" strike="noStrike">
                <a:solidFill>
                  <a:srgbClr val="595959"/>
                </a:solidFill>
                <a:latin typeface="Calibri"/>
              </a:defRPr>
            </a:pPr>
          </a:p>
        </c:txPr>
        <c:crossAx val="46434792"/>
        <c:crosses val="autoZero"/>
        <c:crossBetween val="between"/>
      </c:valAx>
      <c:spPr>
        <a:pattFill prst="ltDnDiag">
          <a:fgClr>
            <a:srgbClr val="d9d9d9"/>
          </a:fgClr>
          <a:bgClr>
            <a:srgbClr val="ffffff"/>
          </a:bgClr>
        </a:pattFill>
        <a:ln w="0">
          <a:noFill/>
        </a:ln>
      </c:spPr>
    </c:plotArea>
    <c:legend>
      <c:legendPos val="b"/>
      <c:overlay val="0"/>
      <c:spPr>
        <a:noFill/>
        <a:ln w="0">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IN" sz="1400" spc="-1" strike="noStrike">
                <a:solidFill>
                  <a:srgbClr val="595959"/>
                </a:solidFill>
                <a:latin typeface="Calibri"/>
              </a:defRPr>
            </a:pPr>
            <a:r>
              <a:rPr b="0" lang="en-IN" sz="1400" spc="-1" strike="noStrike">
                <a:solidFill>
                  <a:srgbClr val="595959"/>
                </a:solidFill>
                <a:latin typeface="Calibri"/>
              </a:rPr>
              <a:t>Kuznet's Curve</a:t>
            </a:r>
          </a:p>
        </c:rich>
      </c:tx>
      <c:overlay val="0"/>
      <c:spPr>
        <a:noFill/>
        <a:ln w="0">
          <a:noFill/>
        </a:ln>
      </c:spPr>
    </c:title>
    <c:autoTitleDeleted val="0"/>
    <c:plotArea>
      <c:scatterChart>
        <c:scatterStyle val="lineMarker"/>
        <c:varyColors val="0"/>
        <c:ser>
          <c:idx val="0"/>
          <c:order val="0"/>
          <c:tx>
            <c:strRef>
              <c:f>label 1</c:f>
              <c:strCache>
                <c:ptCount val="1"/>
                <c:pt idx="0">
                  <c:v>Series2</c:v>
                </c:pt>
              </c:strCache>
            </c:strRef>
          </c:tx>
          <c:spPr>
            <a:solidFill>
              <a:srgbClr val="4f81bd"/>
            </a:solidFill>
            <a:ln w="28440">
              <a:noFill/>
            </a:ln>
          </c:spPr>
          <c:marker>
            <c:symbol val="circle"/>
            <c:size val="5"/>
            <c:spPr>
              <a:solidFill>
                <a:srgbClr val="4f81bd"/>
              </a:solidFill>
            </c:spPr>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xVal>
            <c:numRef>
              <c:f>1</c:f>
              <c:numCache>
                <c:formatCode>General</c:formatCode>
                <c:ptCount val="152"/>
                <c:pt idx="0">
                  <c:v>754</c:v>
                </c:pt>
                <c:pt idx="1">
                  <c:v>993</c:v>
                </c:pt>
                <c:pt idx="2">
                  <c:v>1035</c:v>
                </c:pt>
                <c:pt idx="3">
                  <c:v>1063</c:v>
                </c:pt>
                <c:pt idx="4">
                  <c:v>1201</c:v>
                </c:pt>
                <c:pt idx="5">
                  <c:v>1250</c:v>
                </c:pt>
                <c:pt idx="6">
                  <c:v>1258</c:v>
                </c:pt>
                <c:pt idx="7">
                  <c:v>1555</c:v>
                </c:pt>
                <c:pt idx="8">
                  <c:v>1594</c:v>
                </c:pt>
                <c:pt idx="9">
                  <c:v>1596</c:v>
                </c:pt>
                <c:pt idx="10">
                  <c:v>1602</c:v>
                </c:pt>
                <c:pt idx="11">
                  <c:v>1668</c:v>
                </c:pt>
                <c:pt idx="12">
                  <c:v>1709</c:v>
                </c:pt>
                <c:pt idx="13">
                  <c:v>1996</c:v>
                </c:pt>
                <c:pt idx="14">
                  <c:v>2003</c:v>
                </c:pt>
                <c:pt idx="15">
                  <c:v>2123</c:v>
                </c:pt>
                <c:pt idx="16">
                  <c:v>2133</c:v>
                </c:pt>
                <c:pt idx="17">
                  <c:v>2155</c:v>
                </c:pt>
                <c:pt idx="18">
                  <c:v>2168</c:v>
                </c:pt>
                <c:pt idx="19">
                  <c:v>2207</c:v>
                </c:pt>
                <c:pt idx="20">
                  <c:v>2253</c:v>
                </c:pt>
                <c:pt idx="21">
                  <c:v>2269</c:v>
                </c:pt>
                <c:pt idx="22">
                  <c:v>2405</c:v>
                </c:pt>
                <c:pt idx="23">
                  <c:v>2600</c:v>
                </c:pt>
                <c:pt idx="24">
                  <c:v>2666</c:v>
                </c:pt>
                <c:pt idx="25">
                  <c:v>2879</c:v>
                </c:pt>
                <c:pt idx="26">
                  <c:v>3099</c:v>
                </c:pt>
                <c:pt idx="27">
                  <c:v>3105</c:v>
                </c:pt>
                <c:pt idx="28">
                  <c:v>3151</c:v>
                </c:pt>
                <c:pt idx="29">
                  <c:v>3254</c:v>
                </c:pt>
                <c:pt idx="30">
                  <c:v>3309</c:v>
                </c:pt>
                <c:pt idx="31">
                  <c:v>3326</c:v>
                </c:pt>
                <c:pt idx="32">
                  <c:v>3457</c:v>
                </c:pt>
                <c:pt idx="33">
                  <c:v>3581</c:v>
                </c:pt>
                <c:pt idx="34">
                  <c:v>3829</c:v>
                </c:pt>
                <c:pt idx="35">
                  <c:v>3952</c:v>
                </c:pt>
                <c:pt idx="36">
                  <c:v>3954</c:v>
                </c:pt>
                <c:pt idx="37">
                  <c:v>3983</c:v>
                </c:pt>
                <c:pt idx="38">
                  <c:v>4244</c:v>
                </c:pt>
                <c:pt idx="39">
                  <c:v>4301</c:v>
                </c:pt>
                <c:pt idx="40">
                  <c:v>4440</c:v>
                </c:pt>
                <c:pt idx="41">
                  <c:v>4864</c:v>
                </c:pt>
                <c:pt idx="42">
                  <c:v>4910</c:v>
                </c:pt>
                <c:pt idx="43">
                  <c:v>4961</c:v>
                </c:pt>
                <c:pt idx="44">
                  <c:v>4976</c:v>
                </c:pt>
                <c:pt idx="45">
                  <c:v>5005</c:v>
                </c:pt>
                <c:pt idx="46">
                  <c:v>5069</c:v>
                </c:pt>
                <c:pt idx="47">
                  <c:v>5135</c:v>
                </c:pt>
                <c:pt idx="48">
                  <c:v>5269</c:v>
                </c:pt>
                <c:pt idx="49">
                  <c:v>5284</c:v>
                </c:pt>
                <c:pt idx="50">
                  <c:v>5308</c:v>
                </c:pt>
                <c:pt idx="51">
                  <c:v>5689</c:v>
                </c:pt>
                <c:pt idx="52">
                  <c:v>6104</c:v>
                </c:pt>
                <c:pt idx="53">
                  <c:v>6132</c:v>
                </c:pt>
                <c:pt idx="54">
                  <c:v>6309</c:v>
                </c:pt>
                <c:pt idx="55">
                  <c:v>6365</c:v>
                </c:pt>
                <c:pt idx="56">
                  <c:v>6417</c:v>
                </c:pt>
                <c:pt idx="57">
                  <c:v>6681</c:v>
                </c:pt>
                <c:pt idx="58">
                  <c:v>7019</c:v>
                </c:pt>
                <c:pt idx="59">
                  <c:v>7368</c:v>
                </c:pt>
                <c:pt idx="60">
                  <c:v>7413</c:v>
                </c:pt>
                <c:pt idx="61">
                  <c:v>7433</c:v>
                </c:pt>
                <c:pt idx="62">
                  <c:v>7919</c:v>
                </c:pt>
                <c:pt idx="63">
                  <c:v>8359</c:v>
                </c:pt>
                <c:pt idx="64">
                  <c:v>8494</c:v>
                </c:pt>
                <c:pt idx="65">
                  <c:v>8554</c:v>
                </c:pt>
                <c:pt idx="66">
                  <c:v>9357</c:v>
                </c:pt>
                <c:pt idx="67">
                  <c:v>9778</c:v>
                </c:pt>
                <c:pt idx="68">
                  <c:v>9858</c:v>
                </c:pt>
                <c:pt idx="69">
                  <c:v>10414</c:v>
                </c:pt>
                <c:pt idx="70">
                  <c:v>10746</c:v>
                </c:pt>
                <c:pt idx="71">
                  <c:v>10801</c:v>
                </c:pt>
                <c:pt idx="72">
                  <c:v>10839</c:v>
                </c:pt>
                <c:pt idx="73">
                  <c:v>11044</c:v>
                </c:pt>
                <c:pt idx="74">
                  <c:v>11174</c:v>
                </c:pt>
                <c:pt idx="75">
                  <c:v>11459</c:v>
                </c:pt>
                <c:pt idx="76">
                  <c:v>11466</c:v>
                </c:pt>
                <c:pt idx="77">
                  <c:v>12129</c:v>
                </c:pt>
                <c:pt idx="78">
                  <c:v>12224</c:v>
                </c:pt>
                <c:pt idx="79">
                  <c:v>12252</c:v>
                </c:pt>
                <c:pt idx="80">
                  <c:v>12447</c:v>
                </c:pt>
                <c:pt idx="81">
                  <c:v>12707</c:v>
                </c:pt>
                <c:pt idx="82">
                  <c:v>13009</c:v>
                </c:pt>
                <c:pt idx="83">
                  <c:v>13216</c:v>
                </c:pt>
                <c:pt idx="84">
                  <c:v>13664</c:v>
                </c:pt>
                <c:pt idx="85">
                  <c:v>13894</c:v>
                </c:pt>
                <c:pt idx="86">
                  <c:v>13930</c:v>
                </c:pt>
                <c:pt idx="87">
                  <c:v>13998</c:v>
                </c:pt>
                <c:pt idx="88">
                  <c:v>14257</c:v>
                </c:pt>
                <c:pt idx="89">
                  <c:v>14263</c:v>
                </c:pt>
                <c:pt idx="90">
                  <c:v>14429</c:v>
                </c:pt>
                <c:pt idx="91">
                  <c:v>14616</c:v>
                </c:pt>
                <c:pt idx="92">
                  <c:v>14655</c:v>
                </c:pt>
                <c:pt idx="93">
                  <c:v>14872</c:v>
                </c:pt>
                <c:pt idx="94">
                  <c:v>15865</c:v>
                </c:pt>
                <c:pt idx="95">
                  <c:v>16057</c:v>
                </c:pt>
                <c:pt idx="96">
                  <c:v>16437</c:v>
                </c:pt>
                <c:pt idx="97">
                  <c:v>17192</c:v>
                </c:pt>
                <c:pt idx="98">
                  <c:v>17417</c:v>
                </c:pt>
                <c:pt idx="99">
                  <c:v>17591</c:v>
                </c:pt>
                <c:pt idx="100">
                  <c:v>17781</c:v>
                </c:pt>
                <c:pt idx="101">
                  <c:v>18486</c:v>
                </c:pt>
                <c:pt idx="102">
                  <c:v>18546</c:v>
                </c:pt>
                <c:pt idx="103">
                  <c:v>19160</c:v>
                </c:pt>
                <c:pt idx="104">
                  <c:v>20064</c:v>
                </c:pt>
                <c:pt idx="105">
                  <c:v>21190</c:v>
                </c:pt>
                <c:pt idx="106">
                  <c:v>21399</c:v>
                </c:pt>
                <c:pt idx="107">
                  <c:v>22857</c:v>
                </c:pt>
                <c:pt idx="108">
                  <c:v>23261</c:v>
                </c:pt>
                <c:pt idx="109">
                  <c:v>23325</c:v>
                </c:pt>
                <c:pt idx="110">
                  <c:v>25266</c:v>
                </c:pt>
                <c:pt idx="111">
                  <c:v>26157</c:v>
                </c:pt>
                <c:pt idx="112">
                  <c:v>26903</c:v>
                </c:pt>
                <c:pt idx="113">
                  <c:v>27534</c:v>
                </c:pt>
                <c:pt idx="114">
                  <c:v>27701</c:v>
                </c:pt>
                <c:pt idx="115">
                  <c:v>28070</c:v>
                </c:pt>
                <c:pt idx="116">
                  <c:v>29497</c:v>
                </c:pt>
                <c:pt idx="117">
                  <c:v>29558</c:v>
                </c:pt>
                <c:pt idx="118">
                  <c:v>30155</c:v>
                </c:pt>
                <c:pt idx="119">
                  <c:v>30282</c:v>
                </c:pt>
                <c:pt idx="120">
                  <c:v>31329</c:v>
                </c:pt>
                <c:pt idx="121">
                  <c:v>31623</c:v>
                </c:pt>
                <c:pt idx="122">
                  <c:v>32113</c:v>
                </c:pt>
                <c:pt idx="123">
                  <c:v>33967</c:v>
                </c:pt>
                <c:pt idx="124">
                  <c:v>35799</c:v>
                </c:pt>
                <c:pt idx="125">
                  <c:v>36019</c:v>
                </c:pt>
                <c:pt idx="126">
                  <c:v>38080</c:v>
                </c:pt>
                <c:pt idx="127">
                  <c:v>38109</c:v>
                </c:pt>
                <c:pt idx="128">
                  <c:v>38207</c:v>
                </c:pt>
                <c:pt idx="129">
                  <c:v>39555</c:v>
                </c:pt>
                <c:pt idx="130">
                  <c:v>40187</c:v>
                </c:pt>
                <c:pt idx="131">
                  <c:v>40975</c:v>
                </c:pt>
                <c:pt idx="132">
                  <c:v>42776</c:v>
                </c:pt>
                <c:pt idx="133">
                  <c:v>42932</c:v>
                </c:pt>
                <c:pt idx="134">
                  <c:v>43044</c:v>
                </c:pt>
                <c:pt idx="135">
                  <c:v>46071</c:v>
                </c:pt>
                <c:pt idx="136">
                  <c:v>47173</c:v>
                </c:pt>
                <c:pt idx="137">
                  <c:v>48085</c:v>
                </c:pt>
                <c:pt idx="138">
                  <c:v>48511</c:v>
                </c:pt>
                <c:pt idx="139">
                  <c:v>48527</c:v>
                </c:pt>
                <c:pt idx="140">
                  <c:v>52085</c:v>
                </c:pt>
                <c:pt idx="141">
                  <c:v>54508</c:v>
                </c:pt>
                <c:pt idx="142">
                  <c:v>54682</c:v>
                </c:pt>
                <c:pt idx="143">
                  <c:v>55314</c:v>
                </c:pt>
                <c:pt idx="144">
                  <c:v>56197</c:v>
                </c:pt>
                <c:pt idx="145">
                  <c:v>57707</c:v>
                </c:pt>
                <c:pt idx="146">
                  <c:v>58662</c:v>
                </c:pt>
                <c:pt idx="147">
                  <c:v>63826</c:v>
                </c:pt>
                <c:pt idx="148">
                  <c:v>66494</c:v>
                </c:pt>
                <c:pt idx="149">
                  <c:v>68371</c:v>
                </c:pt>
                <c:pt idx="150">
                  <c:v>69394</c:v>
                </c:pt>
                <c:pt idx="151">
                  <c:v>72712</c:v>
                </c:pt>
              </c:numCache>
            </c:numRef>
          </c:xVal>
          <c:yVal>
            <c:numRef>
              <c:f>0</c:f>
              <c:numCache>
                <c:formatCode>General</c:formatCode>
                <c:ptCount val="152"/>
                <c:pt idx="0">
                  <c:v>1.7</c:v>
                </c:pt>
                <c:pt idx="1">
                  <c:v>4.5</c:v>
                </c:pt>
                <c:pt idx="2">
                  <c:v>2.4</c:v>
                </c:pt>
                <c:pt idx="3">
                  <c:v>2.1</c:v>
                </c:pt>
                <c:pt idx="4">
                  <c:v>1.4</c:v>
                </c:pt>
                <c:pt idx="5">
                  <c:v>3.9</c:v>
                </c:pt>
                <c:pt idx="6">
                  <c:v>1.4</c:v>
                </c:pt>
                <c:pt idx="7">
                  <c:v>2.2</c:v>
                </c:pt>
                <c:pt idx="8">
                  <c:v>1.6</c:v>
                </c:pt>
                <c:pt idx="9">
                  <c:v>2.1</c:v>
                </c:pt>
                <c:pt idx="10">
                  <c:v>2.2</c:v>
                </c:pt>
                <c:pt idx="11">
                  <c:v>1.4</c:v>
                </c:pt>
                <c:pt idx="12">
                  <c:v>2</c:v>
                </c:pt>
                <c:pt idx="13">
                  <c:v>3.3</c:v>
                </c:pt>
                <c:pt idx="14">
                  <c:v>2.7</c:v>
                </c:pt>
                <c:pt idx="15">
                  <c:v>2.1</c:v>
                </c:pt>
                <c:pt idx="16">
                  <c:v>1.5</c:v>
                </c:pt>
                <c:pt idx="17">
                  <c:v>2.3</c:v>
                </c:pt>
                <c:pt idx="18">
                  <c:v>1.5</c:v>
                </c:pt>
                <c:pt idx="19">
                  <c:v>1.8</c:v>
                </c:pt>
                <c:pt idx="20">
                  <c:v>1.6</c:v>
                </c:pt>
                <c:pt idx="21">
                  <c:v>1.3</c:v>
                </c:pt>
                <c:pt idx="22">
                  <c:v>1.3</c:v>
                </c:pt>
                <c:pt idx="23">
                  <c:v>1.7</c:v>
                </c:pt>
                <c:pt idx="24">
                  <c:v>2.2</c:v>
                </c:pt>
                <c:pt idx="25">
                  <c:v>3.1</c:v>
                </c:pt>
                <c:pt idx="26">
                  <c:v>2.5</c:v>
                </c:pt>
                <c:pt idx="27">
                  <c:v>1.6</c:v>
                </c:pt>
                <c:pt idx="28">
                  <c:v>4.3</c:v>
                </c:pt>
                <c:pt idx="29">
                  <c:v>2.9</c:v>
                </c:pt>
                <c:pt idx="30">
                  <c:v>1.9</c:v>
                </c:pt>
                <c:pt idx="31">
                  <c:v>5</c:v>
                </c:pt>
                <c:pt idx="32">
                  <c:v>1.3</c:v>
                </c:pt>
                <c:pt idx="33">
                  <c:v>2.7</c:v>
                </c:pt>
                <c:pt idx="34">
                  <c:v>1.4</c:v>
                </c:pt>
                <c:pt idx="35">
                  <c:v>1.1</c:v>
                </c:pt>
                <c:pt idx="36">
                  <c:v>1.4</c:v>
                </c:pt>
                <c:pt idx="37">
                  <c:v>1.8</c:v>
                </c:pt>
                <c:pt idx="38">
                  <c:v>1.9</c:v>
                </c:pt>
                <c:pt idx="39">
                  <c:v>2</c:v>
                </c:pt>
                <c:pt idx="40">
                  <c:v>1.1</c:v>
                </c:pt>
                <c:pt idx="41">
                  <c:v>1</c:v>
                </c:pt>
                <c:pt idx="42">
                  <c:v>2.2</c:v>
                </c:pt>
                <c:pt idx="43">
                  <c:v>1.7</c:v>
                </c:pt>
                <c:pt idx="44">
                  <c:v>1.3</c:v>
                </c:pt>
                <c:pt idx="45">
                  <c:v>1.4</c:v>
                </c:pt>
                <c:pt idx="46">
                  <c:v>2</c:v>
                </c:pt>
                <c:pt idx="47">
                  <c:v>1.3</c:v>
                </c:pt>
                <c:pt idx="48">
                  <c:v>2.3</c:v>
                </c:pt>
                <c:pt idx="49">
                  <c:v>2.6</c:v>
                </c:pt>
                <c:pt idx="50">
                  <c:v>3.4</c:v>
                </c:pt>
                <c:pt idx="51">
                  <c:v>2</c:v>
                </c:pt>
                <c:pt idx="52">
                  <c:v>2.1</c:v>
                </c:pt>
                <c:pt idx="53">
                  <c:v>1.8</c:v>
                </c:pt>
                <c:pt idx="54">
                  <c:v>1.8</c:v>
                </c:pt>
                <c:pt idx="55">
                  <c:v>1.6</c:v>
                </c:pt>
                <c:pt idx="56">
                  <c:v>1.3</c:v>
                </c:pt>
                <c:pt idx="57">
                  <c:v>1.5</c:v>
                </c:pt>
                <c:pt idx="58">
                  <c:v>2.7</c:v>
                </c:pt>
                <c:pt idx="59">
                  <c:v>1.8</c:v>
                </c:pt>
                <c:pt idx="60">
                  <c:v>1.6</c:v>
                </c:pt>
                <c:pt idx="61">
                  <c:v>1.4</c:v>
                </c:pt>
                <c:pt idx="62">
                  <c:v>3.5</c:v>
                </c:pt>
                <c:pt idx="63">
                  <c:v>1.7</c:v>
                </c:pt>
                <c:pt idx="64">
                  <c:v>2.9</c:v>
                </c:pt>
                <c:pt idx="65">
                  <c:v>2.3</c:v>
                </c:pt>
                <c:pt idx="66">
                  <c:v>5.5</c:v>
                </c:pt>
                <c:pt idx="67">
                  <c:v>1.9</c:v>
                </c:pt>
                <c:pt idx="68">
                  <c:v>1.4</c:v>
                </c:pt>
                <c:pt idx="69">
                  <c:v>1.3</c:v>
                </c:pt>
                <c:pt idx="70">
                  <c:v>1.6</c:v>
                </c:pt>
                <c:pt idx="71">
                  <c:v>1.1</c:v>
                </c:pt>
                <c:pt idx="72">
                  <c:v>1.3</c:v>
                </c:pt>
                <c:pt idx="73">
                  <c:v>2.4</c:v>
                </c:pt>
                <c:pt idx="74">
                  <c:v>1</c:v>
                </c:pt>
                <c:pt idx="75">
                  <c:v>1.7</c:v>
                </c:pt>
                <c:pt idx="76">
                  <c:v>1.3</c:v>
                </c:pt>
                <c:pt idx="77">
                  <c:v>7</c:v>
                </c:pt>
                <c:pt idx="78">
                  <c:v>3</c:v>
                </c:pt>
                <c:pt idx="79">
                  <c:v>2.2</c:v>
                </c:pt>
                <c:pt idx="80">
                  <c:v>1.9</c:v>
                </c:pt>
                <c:pt idx="81">
                  <c:v>1.9</c:v>
                </c:pt>
                <c:pt idx="82">
                  <c:v>1.6</c:v>
                </c:pt>
                <c:pt idx="83">
                  <c:v>0.9</c:v>
                </c:pt>
                <c:pt idx="84">
                  <c:v>0.9</c:v>
                </c:pt>
                <c:pt idx="85">
                  <c:v>1.4</c:v>
                </c:pt>
                <c:pt idx="86">
                  <c:v>1.6</c:v>
                </c:pt>
                <c:pt idx="87">
                  <c:v>1</c:v>
                </c:pt>
                <c:pt idx="88">
                  <c:v>3.1</c:v>
                </c:pt>
                <c:pt idx="89">
                  <c:v>4</c:v>
                </c:pt>
                <c:pt idx="90">
                  <c:v>1.7</c:v>
                </c:pt>
                <c:pt idx="91">
                  <c:v>3.5</c:v>
                </c:pt>
                <c:pt idx="92">
                  <c:v>1.2</c:v>
                </c:pt>
                <c:pt idx="93">
                  <c:v>1.3</c:v>
                </c:pt>
                <c:pt idx="94">
                  <c:v>1.4</c:v>
                </c:pt>
                <c:pt idx="95">
                  <c:v>1.7</c:v>
                </c:pt>
                <c:pt idx="96">
                  <c:v>3.8</c:v>
                </c:pt>
                <c:pt idx="97">
                  <c:v>1</c:v>
                </c:pt>
                <c:pt idx="98">
                  <c:v>1.7</c:v>
                </c:pt>
                <c:pt idx="99">
                  <c:v>2.5</c:v>
                </c:pt>
                <c:pt idx="100">
                  <c:v>1.5</c:v>
                </c:pt>
                <c:pt idx="101">
                  <c:v>2.9</c:v>
                </c:pt>
                <c:pt idx="102">
                  <c:v>0.9</c:v>
                </c:pt>
                <c:pt idx="103">
                  <c:v>2.3</c:v>
                </c:pt>
                <c:pt idx="104">
                  <c:v>1.8</c:v>
                </c:pt>
                <c:pt idx="105">
                  <c:v>1.9</c:v>
                </c:pt>
                <c:pt idx="106">
                  <c:v>1.2</c:v>
                </c:pt>
                <c:pt idx="107">
                  <c:v>1</c:v>
                </c:pt>
                <c:pt idx="108">
                  <c:v>2.6</c:v>
                </c:pt>
                <c:pt idx="109">
                  <c:v>1.6</c:v>
                </c:pt>
                <c:pt idx="110">
                  <c:v>1.5</c:v>
                </c:pt>
                <c:pt idx="111">
                  <c:v>1.6</c:v>
                </c:pt>
                <c:pt idx="112">
                  <c:v>2.6</c:v>
                </c:pt>
                <c:pt idx="113">
                  <c:v>2</c:v>
                </c:pt>
                <c:pt idx="114">
                  <c:v>2.1</c:v>
                </c:pt>
                <c:pt idx="115">
                  <c:v>1.1</c:v>
                </c:pt>
                <c:pt idx="116">
                  <c:v>1.5</c:v>
                </c:pt>
                <c:pt idx="117">
                  <c:v>3.3</c:v>
                </c:pt>
                <c:pt idx="118">
                  <c:v>1.5</c:v>
                </c:pt>
                <c:pt idx="119">
                  <c:v>1.4</c:v>
                </c:pt>
                <c:pt idx="120">
                  <c:v>1.1</c:v>
                </c:pt>
                <c:pt idx="121">
                  <c:v>1.1</c:v>
                </c:pt>
                <c:pt idx="122">
                  <c:v>0.9</c:v>
                </c:pt>
                <c:pt idx="123">
                  <c:v>1.5</c:v>
                </c:pt>
                <c:pt idx="124">
                  <c:v>1.6</c:v>
                </c:pt>
                <c:pt idx="125">
                  <c:v>1.2</c:v>
                </c:pt>
                <c:pt idx="126">
                  <c:v>0.9</c:v>
                </c:pt>
                <c:pt idx="127">
                  <c:v>0.9</c:v>
                </c:pt>
                <c:pt idx="128">
                  <c:v>1.4</c:v>
                </c:pt>
                <c:pt idx="129">
                  <c:v>1.1</c:v>
                </c:pt>
                <c:pt idx="130">
                  <c:v>1.7</c:v>
                </c:pt>
                <c:pt idx="131">
                  <c:v>1.5</c:v>
                </c:pt>
                <c:pt idx="132">
                  <c:v>1.4</c:v>
                </c:pt>
                <c:pt idx="133">
                  <c:v>1.2</c:v>
                </c:pt>
                <c:pt idx="134">
                  <c:v>1.2</c:v>
                </c:pt>
                <c:pt idx="135">
                  <c:v>1.3</c:v>
                </c:pt>
                <c:pt idx="136">
                  <c:v>1.3</c:v>
                </c:pt>
                <c:pt idx="137">
                  <c:v>1.5</c:v>
                </c:pt>
                <c:pt idx="138">
                  <c:v>1</c:v>
                </c:pt>
                <c:pt idx="139">
                  <c:v>1.3</c:v>
                </c:pt>
                <c:pt idx="140">
                  <c:v>1</c:v>
                </c:pt>
                <c:pt idx="141">
                  <c:v>1</c:v>
                </c:pt>
                <c:pt idx="142">
                  <c:v>1</c:v>
                </c:pt>
                <c:pt idx="143">
                  <c:v>1.2</c:v>
                </c:pt>
                <c:pt idx="144">
                  <c:v>1.1</c:v>
                </c:pt>
                <c:pt idx="145">
                  <c:v>1</c:v>
                </c:pt>
                <c:pt idx="146">
                  <c:v>1</c:v>
                </c:pt>
                <c:pt idx="147">
                  <c:v>2</c:v>
                </c:pt>
                <c:pt idx="148">
                  <c:v>1</c:v>
                </c:pt>
                <c:pt idx="149">
                  <c:v>1.2</c:v>
                </c:pt>
                <c:pt idx="150">
                  <c:v>1.2</c:v>
                </c:pt>
                <c:pt idx="151">
                  <c:v>1.3</c:v>
                </c:pt>
              </c:numCache>
            </c:numRef>
          </c:yVal>
          <c:smooth val="0"/>
        </c:ser>
        <c:axId val="8209240"/>
        <c:axId val="22089015"/>
      </c:scatterChart>
      <c:valAx>
        <c:axId val="8209240"/>
        <c:scaling>
          <c:orientation val="minMax"/>
        </c:scaling>
        <c:delete val="0"/>
        <c:axPos val="b"/>
        <c:majorGridlines>
          <c:spPr>
            <a:ln w="9360">
              <a:solidFill>
                <a:srgbClr val="d9d9d9"/>
              </a:solidFill>
              <a:round/>
            </a:ln>
          </c:spPr>
        </c:majorGridlines>
        <c:numFmt formatCode="General"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22089015"/>
        <c:crosses val="autoZero"/>
        <c:crossBetween val="midCat"/>
      </c:valAx>
      <c:valAx>
        <c:axId val="22089015"/>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8209240"/>
        <c:crosses val="autoZero"/>
        <c:crossBetween val="midCat"/>
      </c:valAx>
      <c:spPr>
        <a:noFill/>
        <a:ln w="0">
          <a:noFill/>
        </a:ln>
      </c:spPr>
    </c:plotArea>
    <c:plotVisOnly val="1"/>
    <c:dispBlanksAs val="gap"/>
  </c:chart>
  <c:spPr>
    <a:solidFill>
      <a:srgbClr val="ffffff"/>
    </a:solidFill>
    <a:ln w="9360">
      <a:solidFill>
        <a:srgbClr val="d9d9d9"/>
      </a:solidFill>
      <a:round/>
    </a:ln>
  </c:spPr>
  <c:externalData r:id="rId1"/>
</c:chartSpace>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E49A4B506EA37419A3F22454149587F" ma:contentTypeVersion="8" ma:contentTypeDescription="Create a new document." ma:contentTypeScope="" ma:versionID="2c9043dcddfd013029b0722919db1711">
  <xsd:schema xmlns:xsd="http://www.w3.org/2001/XMLSchema" xmlns:xs="http://www.w3.org/2001/XMLSchema" xmlns:p="http://schemas.microsoft.com/office/2006/metadata/properties" xmlns:ns3="76268873-d6b9-4779-9ff9-06d628076770" targetNamespace="http://schemas.microsoft.com/office/2006/metadata/properties" ma:root="true" ma:fieldsID="60eb1547c32c40fc1890461898e5604c" ns3:_="">
    <xsd:import namespace="76268873-d6b9-4779-9ff9-06d6280767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268873-d6b9-4779-9ff9-06d628076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Deb98</b:Tag>
    <b:SourceType>Book</b:SourceType>
    <b:Guid>{AEEDD130-CD4F-4868-A4A4-408A2D0E5BAE}</b:Guid>
    <b:Title>Development Economic</b:Title>
    <b:Year>1998</b:Year>
    <b:Publisher>Princeton University Press</b:Publisher>
    <b:City>New York</b:City>
    <b:Author>
      <b:Author>
        <b:NameList>
          <b:Person>
            <b:Last>Ray</b:Last>
            <b:First>Debraj</b:First>
          </b:Person>
        </b:NameList>
      </b:Author>
    </b:Author>
    <b:RefOrder>1</b:RefOrder>
  </b:Source>
</b:Sources>
</file>

<file path=customXml/itemProps1.xml><?xml version="1.0" encoding="utf-8"?>
<ds:datastoreItem xmlns:ds="http://schemas.openxmlformats.org/officeDocument/2006/customXml" ds:itemID="{0F0F32DD-7F67-458B-A815-34784B1DACC4}">
  <ds:schemaRefs>
    <ds:schemaRef ds:uri="http://schemas.microsoft.com/sharepoint/v3/contenttype/forms"/>
  </ds:schemaRefs>
</ds:datastoreItem>
</file>

<file path=customXml/itemProps2.xml><?xml version="1.0" encoding="utf-8"?>
<ds:datastoreItem xmlns:ds="http://schemas.openxmlformats.org/officeDocument/2006/customXml" ds:itemID="{DD81AC30-1549-4BF2-826B-F1CA72C996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B49924B-AAAB-4AEF-A015-42A51EE38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268873-d6b9-4779-9ff9-06d6280767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F527B6-57EE-4371-A665-FDC7A2A5E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LibreOffice/24.2.7.2$Linux_X86_64 LibreOffice_project/420$Build-2</Application>
  <AppVersion>15.0000</AppVersion>
  <Pages>6</Pages>
  <Words>1493</Words>
  <Characters>7504</Characters>
  <CharactersWithSpaces>8934</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2021-09-26T13:21:00Z</dcterms:created>
  <dc:creator>Atharva Patkar</dc:creator>
  <dc:description/>
  <dc:language>en-IN</dc:language>
  <cp:lastModifiedBy/>
  <dcterms:modified xsi:type="dcterms:W3CDTF">2026-03-20T13:53:01Z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0x0101002E49A4B506EA37419A3F22454149587F</vt:lpwstr>
  </property>
</Properties>
</file>