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github.com/ap9650/dagar</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0" w:after="120" w:line="300" w:lineRule="auto"/>
      </w:pPr>
      <w:r>
        <w:rPr>
          <w:rFonts w:ascii="Arial" w:hAnsi="Arial"/>
          <w:b/>
          <w:i w:val="0"/>
          <w:color w:val="3F4A57"/>
          <w:sz w:val="21"/>
        </w:rPr>
        <w:t>What the offer does, and does not, do.</w:t>
      </w:r>
      <w:r>
        <w:rPr>
          <w:rFonts w:ascii="Arial" w:hAnsi="Arial"/>
          <w:b w:val="0"/>
          <w:i w:val="0"/>
          <w:color w:val="3F4A57"/>
          <w:sz w:val="21"/>
        </w:rPr>
        <w:t xml:space="preserve"> No mentor session happens. The request is recorded with its full context and nothing notifies anyone, so the card says exactly that — </w:t>
      </w:r>
      <w:r>
        <w:rPr>
          <w:rFonts w:ascii="Arial" w:hAnsi="Arial"/>
          <w:i/>
          <w:color w:val="3F4A57"/>
          <w:sz w:val="21"/>
        </w:rPr>
        <w:t>"We haven't built this yet. Tell us you want it, and we'll know to."</w:t>
      </w:r>
      <w:r>
        <w:rPr>
          <w:rFonts w:ascii="Arial" w:hAnsi="Arial"/>
          <w:b w:val="0"/>
          <w:i w:val="0"/>
          <w:color w:val="3F4A57"/>
          <w:sz w:val="21"/>
        </w:rPr>
        <w:t xml:space="preserve"> It previously said a mentor would read it within a day or two, which was not true and was being said to a learner who had just admitted they were stuck. The detection is real, the escalation is not, and the count is what tells us whether human escalation is worth building at all.</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317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317 tests across 23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 The harness exists now (D27, </w:t>
      </w:r>
      <w:r>
        <w:rPr>
          <w:rFonts w:ascii="Consolas" w:hAnsi="Consolas"/>
          <w:i w:val="0"/>
          <w:color w:val="115E59"/>
          <w:sz w:val="21"/>
        </w:rPr>
        <w:t>docs/EVALS.md</w:t>
      </w:r>
      <w:r>
        <w:rPr>
          <w:rFonts w:ascii="Arial" w:hAnsi="Arial"/>
          <w:b w:val="0"/>
          <w:i w:val="0"/>
          <w:color w:val="3F4A57"/>
          <w:sz w:val="21"/>
        </w:rPr>
        <w:t>), and building it settled the argument: 9 of the first 25 messages learners actually sent the tutor were not about mathematics at all, they were about the interface. We had been editing a prompt for a year-eight maths question that most learners were never asking.</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317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