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553"/>
        <w:tblW w:w="4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  <w:gridCol w:w="764"/>
        <w:gridCol w:w="764"/>
      </w:tblGrid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6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64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7.2</w:t>
            </w:r>
          </w:p>
        </w:tc>
        <w:tc>
          <w:tcPr>
            <w:tcW w:w="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7.4</w:t>
            </w:r>
          </w:p>
        </w:tc>
        <w:tc>
          <w:tcPr>
            <w:tcW w:w="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7.6</w:t>
            </w:r>
          </w:p>
        </w:tc>
        <w:tc>
          <w:tcPr>
            <w:tcW w:w="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7.8</w:t>
            </w:r>
          </w:p>
        </w:tc>
        <w:tc>
          <w:tcPr>
            <w:tcW w:w="7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8.8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8</w:t>
            </w:r>
          </w:p>
        </w:tc>
      </w:tr>
      <w:tr w:rsidR="00CA4EF9" w:rsidRPr="00CA4EF9" w:rsidTr="00D50EED">
        <w:trPr>
          <w:trHeight w:val="242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St/Dev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2.63818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2.10713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1.62481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1.249</w:t>
            </w: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:rsidR="00CA4EF9" w:rsidRPr="00CA4EF9" w:rsidRDefault="00CA4EF9" w:rsidP="00D50E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CA4EF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2.63818</w:t>
            </w:r>
          </w:p>
        </w:tc>
      </w:tr>
    </w:tbl>
    <w:p w:rsidR="00D50EED" w:rsidRDefault="00CA4EF9">
      <w:r>
        <w:t>As the outliers increase and get closer to the median the standard deviation</w:t>
      </w:r>
      <w:r w:rsidR="009C1276">
        <w:t xml:space="preserve"> decrease. This tells us that</w:t>
      </w:r>
      <w:r>
        <w:t xml:space="preserve"> the outlier is no longer an outlier and </w:t>
      </w:r>
      <w:r w:rsidR="009C1276">
        <w:t xml:space="preserve">now </w:t>
      </w:r>
      <w:r>
        <w:t>belong</w:t>
      </w:r>
      <w:r w:rsidR="009C1276">
        <w:t>s</w:t>
      </w:r>
      <w:r>
        <w:t xml:space="preserve"> to the cluster of normalized data</w:t>
      </w:r>
      <w:r w:rsidR="009C1276">
        <w:t>. If the outlier is increased on</w:t>
      </w:r>
      <w:r w:rsidR="00C754A3">
        <w:t xml:space="preserve"> the other end</w:t>
      </w:r>
      <w:r>
        <w:t xml:space="preserve"> of the extreme the standard deviation will increase.</w:t>
      </w:r>
    </w:p>
    <w:p w:rsidR="00CA4EF9" w:rsidRDefault="00CA4EF9">
      <w:r>
        <w:t xml:space="preserve"> In our example</w:t>
      </w:r>
      <w:r w:rsidR="009C1276">
        <w:t>,</w:t>
      </w:r>
      <w:r>
        <w:t xml:space="preserve"> the initial number zero was 8 numbers away from the mean with a standard</w:t>
      </w:r>
      <w:r w:rsidR="009C1276">
        <w:t xml:space="preserve"> deviation of ~2.64. Changing the outlier from 0 to</w:t>
      </w:r>
      <w:r>
        <w:t xml:space="preserve"> 16 </w:t>
      </w:r>
      <w:r w:rsidR="009C1276">
        <w:t xml:space="preserve">will once again cause </w:t>
      </w:r>
      <w:r w:rsidR="00D50EED">
        <w:t xml:space="preserve">the </w:t>
      </w:r>
      <w:r w:rsidR="009C1276">
        <w:t>outlier</w:t>
      </w:r>
      <w:r w:rsidR="00D2773E">
        <w:t xml:space="preserve"> to be</w:t>
      </w:r>
      <w:r w:rsidR="009C1276">
        <w:t xml:space="preserve"> 8 numbers away from the mean.  In this scenario</w:t>
      </w:r>
      <w:r w:rsidR="00D2773E">
        <w:t>,</w:t>
      </w:r>
      <w:r w:rsidR="009C1276">
        <w:t xml:space="preserve"> our </w:t>
      </w:r>
      <w:r w:rsidR="00D2773E">
        <w:t>standard deviation will also be</w:t>
      </w:r>
      <w:r w:rsidR="009C1276">
        <w:t xml:space="preserve"> ~2.64</w:t>
      </w:r>
      <w:r w:rsidR="009C1276">
        <w:t xml:space="preserve"> s</w:t>
      </w:r>
      <w:r w:rsidR="009C1276">
        <w:t>ince the calculation squares the values</w:t>
      </w:r>
      <w:r w:rsidR="00D50EED">
        <w:t>,</w:t>
      </w:r>
      <w:r w:rsidR="009C1276">
        <w:t xml:space="preserve"> </w:t>
      </w:r>
      <w:r w:rsidR="00D50EED">
        <w:t xml:space="preserve">no other numbers in the group are changing, </w:t>
      </w:r>
      <w:r w:rsidR="009C1276">
        <w:t xml:space="preserve">and the </w:t>
      </w:r>
      <w:r w:rsidR="007C2694">
        <w:t xml:space="preserve">distance </w:t>
      </w:r>
      <w:r w:rsidR="00D50EED">
        <w:t>between b</w:t>
      </w:r>
      <w:r w:rsidR="009C1276">
        <w:t>oth extremes to the mean are equal.</w:t>
      </w:r>
      <w:bookmarkStart w:id="0" w:name="_GoBack"/>
      <w:bookmarkEnd w:id="0"/>
    </w:p>
    <w:p w:rsidR="009C1276" w:rsidRDefault="009C1276"/>
    <w:p w:rsidR="00CA4EF9" w:rsidRDefault="00CA4EF9"/>
    <w:p w:rsidR="00CA4EF9" w:rsidRDefault="00CA4EF9"/>
    <w:sectPr w:rsidR="00CA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F9"/>
    <w:rsid w:val="00513C22"/>
    <w:rsid w:val="007C2694"/>
    <w:rsid w:val="00853880"/>
    <w:rsid w:val="009C1276"/>
    <w:rsid w:val="00C754A3"/>
    <w:rsid w:val="00CA4EF9"/>
    <w:rsid w:val="00D2773E"/>
    <w:rsid w:val="00D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5</cp:revision>
  <dcterms:created xsi:type="dcterms:W3CDTF">2014-09-13T05:20:00Z</dcterms:created>
  <dcterms:modified xsi:type="dcterms:W3CDTF">2014-09-13T05:47:00Z</dcterms:modified>
</cp:coreProperties>
</file>