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Adult males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Year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 total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 genotyped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% sampled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80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2026-04-17T07:43:23Z</dcterms:created>
  <dcterms:modified xsi:type="dcterms:W3CDTF">2026-04-17T07:43:23Z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