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98153" w14:textId="77777777" w:rsidR="00855897" w:rsidRDefault="00000000">
      <w:pPr>
        <w:spacing w:after="40"/>
      </w:pPr>
      <w:r>
        <w:rPr>
          <w:b/>
          <w:bCs/>
          <w:color w:val="1A1A1A"/>
          <w:sz w:val="40"/>
          <w:szCs w:val="40"/>
        </w:rPr>
        <w:t>Settlement Craft Bet</w:t>
      </w:r>
    </w:p>
    <w:p w14:paraId="43333D05" w14:textId="77777777" w:rsidR="00855897" w:rsidRDefault="00000000">
      <w:pPr>
        <w:spacing w:after="60"/>
      </w:pPr>
      <w:r>
        <w:rPr>
          <w:color w:val="2E5A88"/>
          <w:sz w:val="26"/>
          <w:szCs w:val="26"/>
        </w:rPr>
        <w:t>Deal Capture + Engine Extension</w:t>
      </w:r>
    </w:p>
    <w:p w14:paraId="1FB8CA00" w14:textId="77777777" w:rsidR="00855897" w:rsidRDefault="00000000">
      <w:pPr>
        <w:pBdr>
          <w:bottom w:val="single" w:sz="6" w:space="4" w:color="2E5A88"/>
        </w:pBdr>
        <w:spacing w:after="200"/>
      </w:pPr>
      <w:r>
        <w:rPr>
          <w:i/>
          <w:iCs/>
          <w:color w:val="555555"/>
          <w:sz w:val="20"/>
          <w:szCs w:val="20"/>
        </w:rPr>
        <w:t>Amey Palyekar   |   Applied AI PM, Greenroom   |   May 2026</w:t>
      </w:r>
    </w:p>
    <w:p w14:paraId="0F2A2C08" w14:textId="77777777" w:rsidR="00855897" w:rsidRDefault="00000000">
      <w:pPr>
        <w:spacing w:before="80" w:after="130" w:line="300" w:lineRule="auto"/>
      </w:pPr>
      <w:r>
        <w:t xml:space="preserve">Pri opened her Q4 memo with a sentence that frames every choice in this submission: </w:t>
      </w:r>
      <w:r>
        <w:rPr>
          <w:i/>
          <w:iCs/>
        </w:rPr>
        <w:t>we are winning on completeness and losing on craft.</w:t>
      </w:r>
      <w:r>
        <w:t xml:space="preserve"> The dashboard says ARR is up to $8.1M and NDR is 116%, but every customer call ends with the same shrug, the individual features are kinda just okay. The most damning version of that shrug is the 18% adoption number on the in-app settlement tool. 82% of the customer base is doing the most trust-critical conversation of the week in a Google Sheet. That is not a feature gap. It is an existential signal. This memo is my Q1 craft bet against it.</w:t>
      </w:r>
    </w:p>
    <w:p w14:paraId="5FE7F410" w14:textId="77777777" w:rsidR="00855897" w:rsidRDefault="00000000">
      <w:pPr>
        <w:pStyle w:val="Heading2"/>
      </w:pPr>
      <w:r>
        <w:t>1. The slice and why I picked it</w:t>
      </w:r>
    </w:p>
    <w:p w14:paraId="608AFCC0" w14:textId="77777777" w:rsidR="00855897" w:rsidRDefault="00000000">
      <w:pPr>
        <w:spacing w:before="80" w:after="130" w:line="300" w:lineRule="auto"/>
      </w:pPr>
      <w:r>
        <w:t>The slice is two coupled halves, both shipping in Phase 1: LLM-driven deal capture that turns the agent's prose email into a structured, shareable, agent-signed Deal Sheet, and a settlement engine extension that consumes those structured terms to compute settlements for the deal types Mariana is currently doing in her spreadsheet. They sit either side of the same schema migration and ship in parallel behind feature flags.</w:t>
      </w:r>
    </w:p>
    <w:p w14:paraId="4F0F4404" w14:textId="77777777" w:rsidR="00855897" w:rsidRDefault="00000000">
      <w:pPr>
        <w:spacing w:before="80" w:after="130" w:line="300" w:lineRule="auto"/>
      </w:pPr>
      <w:r>
        <w:t xml:space="preserve">The motivating failure is the Coastal Spell dispute from March 2025. An 80-word deal email contained the line </w:t>
      </w:r>
      <w:r>
        <w:rPr>
          <w:i/>
          <w:iCs/>
        </w:rPr>
        <w:t>expenses capped at $2,500, marketing recoup of $900 against gross.</w:t>
      </w:r>
      <w:r>
        <w:t xml:space="preserve"> Mariana read the recoup as a separate deduction off gross; WME's Andrea read it as a member of the $2,500 cap. The two readings differ by $720. Mariana's spreadsheet said $11,565 to the artist, Andrea's said $12,285. Marcus paid the difference, and Mariana wrote in her forwarded note: </w:t>
      </w:r>
      <w:r>
        <w:rPr>
          <w:i/>
          <w:iCs/>
        </w:rPr>
        <w:t>there is no version of the truth in our system. It is just in her head and ours.</w:t>
      </w:r>
    </w:p>
    <w:p w14:paraId="17B1275F" w14:textId="77777777" w:rsidR="00855897" w:rsidRDefault="00000000">
      <w:pPr>
        <w:spacing w:before="80" w:after="130" w:line="300" w:lineRule="auto"/>
      </w:pPr>
      <w:r>
        <w:t>That sentence is the whole problem. The settlement tool today computes math on terms that do not exist anywhere as structured data. The truth lives in a 90-day-old email in Mariana's inbox. The craft bet has to fix that upstream of the math, not at the math itself.</w:t>
      </w:r>
    </w:p>
    <w:p w14:paraId="024019CB" w14:textId="77777777" w:rsidR="00855897" w:rsidRDefault="00000000">
      <w:pPr>
        <w:spacing w:before="80" w:after="130" w:line="300" w:lineRule="auto"/>
      </w:pPr>
      <w:r>
        <w:t xml:space="preserve">There is also a venue-specific urgency that Marcus surfaced directly. The Crescent's lease renews in March 2027. Whether they survive the rate increase comes down to whether agents keep routing strong shows there. Settlement is one of three or four signals agents use to decide who they route through, and Sarah Kim at WME confirmed it: </w:t>
      </w:r>
      <w:r>
        <w:rPr>
          <w:i/>
          <w:iCs/>
        </w:rPr>
        <w:t>a venue that settles well has its operational house in order.</w:t>
      </w:r>
      <w:r>
        <w:t xml:space="preserve"> The cost of the Coastal Spell dispute was not $720. Marcus has seen an indie agent silently pull $80K of routing over a single bad experience eighteen months later. Greenroom sells itself as the operating system for independent venues, the operational backbone for the rooms that will outlast Live Nation and AEG. Right now, on the single most trust-critical moment of the week, that operating system is a Google Sheet. The craft bet is about closing that exact gap.</w:t>
      </w:r>
    </w:p>
    <w:p w14:paraId="702A2FA6" w14:textId="77777777" w:rsidR="00855897" w:rsidRDefault="00000000">
      <w:pPr>
        <w:pStyle w:val="Heading2"/>
      </w:pPr>
      <w:r>
        <w:t>2. Why I cut the alternatives</w:t>
      </w:r>
    </w:p>
    <w:p w14:paraId="1D72E846" w14:textId="77777777" w:rsidR="00855897" w:rsidRDefault="00000000">
      <w:pPr>
        <w:spacing w:before="80" w:after="130" w:line="300" w:lineRule="auto"/>
      </w:pPr>
      <w:r>
        <w:rPr>
          <w:b/>
          <w:bCs/>
        </w:rPr>
        <w:t xml:space="preserve">Math-only fix, just extend dealMath.ts to handle vs, pct-net, and door. </w:t>
      </w:r>
      <w:r>
        <w:t xml:space="preserve">The obvious move, since today the engine returns unsupported for 62.5% of past deals. But computing on ambiguous freetext inputs is strictly worse than not computing. The Coastal Spell dispute, run through a vs-handler that </w:t>
      </w:r>
      <w:r>
        <w:lastRenderedPageBreak/>
        <w:t>silently picks one interpretation of recoup against gross, moves from a 2am conversation between two humans to the engine silently picking the wrong reading and producing a confident-looking $11,565 number. The schema has to be able to express which reading was sealed before the engine can honestly walk it.</w:t>
      </w:r>
    </w:p>
    <w:p w14:paraId="5C457E4D" w14:textId="77777777" w:rsidR="00855897" w:rsidRDefault="00000000">
      <w:pPr>
        <w:spacing w:before="80" w:after="130" w:line="300" w:lineRule="auto"/>
      </w:pPr>
      <w:r>
        <w:rPr>
          <w:b/>
          <w:bCs/>
        </w:rPr>
        <w:t xml:space="preserve">Expense-aggregation cockpit, fix Mariana's Wednesday-to-Friday gap. </w:t>
      </w:r>
      <w:r>
        <w:t>Mariana said it plainly: if you could just have all the expenses ready when I sat down to settle, that alone would change my life. A standalone expense-collection tool would be useful, but it is the wrong sequence. The upstream trust failure is not expense aggregation, it is deal-term ambiguity. The engine still has to honor approved versus pending regardless of where expenses come from, via the Q9 lock-in that surfaces pendingExpenses as a separate field. That is the right shape; the standalone cockpit is Phase 2 once trust upstream is solved.</w:t>
      </w:r>
    </w:p>
    <w:p w14:paraId="710B24A4" w14:textId="77777777" w:rsidR="00855897" w:rsidRDefault="00000000">
      <w:pPr>
        <w:spacing w:before="80" w:after="130" w:line="300" w:lineRule="auto"/>
      </w:pPr>
      <w:r>
        <w:rPr>
          <w:b/>
          <w:bCs/>
        </w:rPr>
        <w:t xml:space="preserve">The 2am walkthrough UI, record the conversation and build a show-your-work worksheet. </w:t>
      </w:r>
      <w:r>
        <w:t>Diego, Sarah, and Mariana all asked for some version of this. Diego: I want to see the math, not have it explained from memory. I rejected it for Phase 1 because a worksheet built on top of bad inputs is showing its work on bad math. Provenance has to start at the deal terms, not at the calculation. Once the engine consumes sealed Deal Sheets and each step carries its source, the walkthrough UI becomes the obvious Phase 2 layer on top.</w:t>
      </w:r>
    </w:p>
    <w:p w14:paraId="53898B28" w14:textId="77777777" w:rsidR="00855897" w:rsidRDefault="00000000">
      <w:pPr>
        <w:pStyle w:val="Heading2"/>
      </w:pPr>
      <w:r>
        <w:t>3. The data evidence</w:t>
      </w:r>
    </w:p>
    <w:p w14:paraId="5EAC66CE" w14:textId="77777777" w:rsidR="00855897" w:rsidRDefault="00000000">
      <w:pPr>
        <w:spacing w:before="80" w:after="130" w:line="300" w:lineRule="auto"/>
      </w:pPr>
      <w:r>
        <w:t>I ran the full SQLite seed through analysis to size the bet honestly. Two numbers anchor it.</w:t>
      </w:r>
    </w:p>
    <w:p w14:paraId="16F0CE8C" w14:textId="77777777" w:rsidR="00855897" w:rsidRDefault="00000000">
      <w:pPr>
        <w:spacing w:before="80" w:after="130" w:line="300" w:lineRule="auto"/>
      </w:pPr>
      <w:r>
        <w:t>The headline metric: the current engine handles 37.5% of past deals and bypasses 62.5%. Distribution across the 507 past deals breaks down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820"/>
        <w:gridCol w:w="1820"/>
        <w:gridCol w:w="1820"/>
      </w:tblGrid>
      <w:tr w:rsidR="00855897" w14:paraId="14B54037" w14:textId="77777777">
        <w:tblPrEx>
          <w:tblCellMar>
            <w:top w:w="0" w:type="dxa"/>
            <w:bottom w:w="0" w:type="dxa"/>
          </w:tblCellMar>
        </w:tblPrEx>
        <w:trPr>
          <w:tblHeader/>
        </w:trPr>
        <w:tc>
          <w:tcPr>
            <w:tcW w:w="3900" w:type="dxa"/>
            <w:tcBorders>
              <w:top w:val="single" w:sz="1" w:space="0" w:color="CCCCCC"/>
              <w:left w:val="single" w:sz="1" w:space="0" w:color="CCCCCC"/>
              <w:bottom w:val="single" w:sz="1" w:space="0" w:color="CCCCCC"/>
              <w:right w:val="single" w:sz="1" w:space="0" w:color="CCCCCC"/>
            </w:tcBorders>
            <w:shd w:val="clear" w:color="auto" w:fill="2E5A88"/>
            <w:tcMar>
              <w:top w:w="70" w:type="dxa"/>
              <w:left w:w="110" w:type="dxa"/>
              <w:bottom w:w="70" w:type="dxa"/>
              <w:right w:w="110" w:type="dxa"/>
            </w:tcMar>
          </w:tcPr>
          <w:p w14:paraId="2F307EF1" w14:textId="77777777" w:rsidR="00855897" w:rsidRDefault="00000000">
            <w:r>
              <w:rPr>
                <w:b/>
                <w:bCs/>
                <w:color w:val="FFFFFF"/>
                <w:sz w:val="20"/>
                <w:szCs w:val="20"/>
              </w:rPr>
              <w:t>Deal type</w:t>
            </w:r>
          </w:p>
        </w:tc>
        <w:tc>
          <w:tcPr>
            <w:tcW w:w="1820" w:type="dxa"/>
            <w:tcBorders>
              <w:top w:val="single" w:sz="1" w:space="0" w:color="CCCCCC"/>
              <w:left w:val="single" w:sz="1" w:space="0" w:color="CCCCCC"/>
              <w:bottom w:val="single" w:sz="1" w:space="0" w:color="CCCCCC"/>
              <w:right w:val="single" w:sz="1" w:space="0" w:color="CCCCCC"/>
            </w:tcBorders>
            <w:shd w:val="clear" w:color="auto" w:fill="2E5A88"/>
            <w:tcMar>
              <w:top w:w="70" w:type="dxa"/>
              <w:left w:w="110" w:type="dxa"/>
              <w:bottom w:w="70" w:type="dxa"/>
              <w:right w:w="110" w:type="dxa"/>
            </w:tcMar>
          </w:tcPr>
          <w:p w14:paraId="7282B239" w14:textId="77777777" w:rsidR="00855897" w:rsidRDefault="00000000">
            <w:r>
              <w:rPr>
                <w:b/>
                <w:bCs/>
                <w:color w:val="FFFFFF"/>
                <w:sz w:val="20"/>
                <w:szCs w:val="20"/>
              </w:rPr>
              <w:t>Count</w:t>
            </w:r>
          </w:p>
        </w:tc>
        <w:tc>
          <w:tcPr>
            <w:tcW w:w="1820" w:type="dxa"/>
            <w:tcBorders>
              <w:top w:val="single" w:sz="1" w:space="0" w:color="CCCCCC"/>
              <w:left w:val="single" w:sz="1" w:space="0" w:color="CCCCCC"/>
              <w:bottom w:val="single" w:sz="1" w:space="0" w:color="CCCCCC"/>
              <w:right w:val="single" w:sz="1" w:space="0" w:color="CCCCCC"/>
            </w:tcBorders>
            <w:shd w:val="clear" w:color="auto" w:fill="2E5A88"/>
            <w:tcMar>
              <w:top w:w="70" w:type="dxa"/>
              <w:left w:w="110" w:type="dxa"/>
              <w:bottom w:w="70" w:type="dxa"/>
              <w:right w:w="110" w:type="dxa"/>
            </w:tcMar>
          </w:tcPr>
          <w:p w14:paraId="1AFC2A46" w14:textId="77777777" w:rsidR="00855897" w:rsidRDefault="00000000">
            <w:r>
              <w:rPr>
                <w:b/>
                <w:bCs/>
                <w:color w:val="FFFFFF"/>
                <w:sz w:val="20"/>
                <w:szCs w:val="20"/>
              </w:rPr>
              <w:t>Share</w:t>
            </w:r>
          </w:p>
        </w:tc>
        <w:tc>
          <w:tcPr>
            <w:tcW w:w="1820" w:type="dxa"/>
            <w:tcBorders>
              <w:top w:val="single" w:sz="1" w:space="0" w:color="CCCCCC"/>
              <w:left w:val="single" w:sz="1" w:space="0" w:color="CCCCCC"/>
              <w:bottom w:val="single" w:sz="1" w:space="0" w:color="CCCCCC"/>
              <w:right w:val="single" w:sz="1" w:space="0" w:color="CCCCCC"/>
            </w:tcBorders>
            <w:shd w:val="clear" w:color="auto" w:fill="2E5A88"/>
            <w:tcMar>
              <w:top w:w="70" w:type="dxa"/>
              <w:left w:w="110" w:type="dxa"/>
              <w:bottom w:w="70" w:type="dxa"/>
              <w:right w:w="110" w:type="dxa"/>
            </w:tcMar>
          </w:tcPr>
          <w:p w14:paraId="56EE72C1" w14:textId="77777777" w:rsidR="00855897" w:rsidRDefault="00000000">
            <w:r>
              <w:rPr>
                <w:b/>
                <w:bCs/>
                <w:color w:val="FFFFFF"/>
                <w:sz w:val="20"/>
                <w:szCs w:val="20"/>
              </w:rPr>
              <w:t>Engine today</w:t>
            </w:r>
          </w:p>
        </w:tc>
      </w:tr>
      <w:tr w:rsidR="00855897" w14:paraId="02D74099"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86D3941" w14:textId="77777777" w:rsidR="00855897" w:rsidRDefault="00000000">
            <w:r>
              <w:rPr>
                <w:color w:val="333333"/>
                <w:sz w:val="20"/>
                <w:szCs w:val="20"/>
              </w:rPr>
              <w:t>Flat</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613A19B9" w14:textId="77777777" w:rsidR="00855897" w:rsidRDefault="00000000">
            <w:pPr>
              <w:jc w:val="center"/>
            </w:pPr>
            <w:r>
              <w:rPr>
                <w:color w:val="333333"/>
                <w:sz w:val="20"/>
                <w:szCs w:val="20"/>
              </w:rPr>
              <w:t>174</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CF9C75F" w14:textId="77777777" w:rsidR="00855897" w:rsidRDefault="00000000">
            <w:pPr>
              <w:jc w:val="center"/>
            </w:pPr>
            <w:r>
              <w:rPr>
                <w:color w:val="333333"/>
                <w:sz w:val="20"/>
                <w:szCs w:val="20"/>
              </w:rPr>
              <w:t>34.3%</w:t>
            </w:r>
          </w:p>
        </w:tc>
        <w:tc>
          <w:tcPr>
            <w:tcW w:w="1820" w:type="dxa"/>
            <w:tcBorders>
              <w:top w:val="single" w:sz="1" w:space="0" w:color="CCCCCC"/>
              <w:left w:val="single" w:sz="1" w:space="0" w:color="CCCCCC"/>
              <w:bottom w:val="single" w:sz="1" w:space="0" w:color="CCCCCC"/>
              <w:right w:val="single" w:sz="1" w:space="0" w:color="CCCCCC"/>
            </w:tcBorders>
            <w:shd w:val="clear" w:color="auto" w:fill="EAF6EE"/>
            <w:tcMar>
              <w:top w:w="60" w:type="dxa"/>
              <w:left w:w="110" w:type="dxa"/>
              <w:bottom w:w="60" w:type="dxa"/>
              <w:right w:w="110" w:type="dxa"/>
            </w:tcMar>
          </w:tcPr>
          <w:p w14:paraId="65622FF9" w14:textId="77777777" w:rsidR="00855897" w:rsidRDefault="00000000">
            <w:r>
              <w:rPr>
                <w:b/>
                <w:bCs/>
                <w:color w:val="2E7D4F"/>
                <w:sz w:val="20"/>
                <w:szCs w:val="20"/>
              </w:rPr>
              <w:t>Supported</w:t>
            </w:r>
          </w:p>
        </w:tc>
      </w:tr>
      <w:tr w:rsidR="00855897" w14:paraId="355000AF"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16D5D898" w14:textId="77777777" w:rsidR="00855897" w:rsidRDefault="00000000">
            <w:r>
              <w:rPr>
                <w:color w:val="333333"/>
                <w:sz w:val="20"/>
                <w:szCs w:val="20"/>
              </w:rPr>
              <w:t>Vs (vs guarantee)</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4E2FCBD" w14:textId="77777777" w:rsidR="00855897" w:rsidRDefault="00000000">
            <w:pPr>
              <w:jc w:val="center"/>
            </w:pPr>
            <w:r>
              <w:rPr>
                <w:color w:val="333333"/>
                <w:sz w:val="20"/>
                <w:szCs w:val="20"/>
              </w:rPr>
              <w:t>185</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306AE03" w14:textId="77777777" w:rsidR="00855897" w:rsidRDefault="00000000">
            <w:pPr>
              <w:jc w:val="center"/>
            </w:pPr>
            <w:r>
              <w:rPr>
                <w:color w:val="333333"/>
                <w:sz w:val="20"/>
                <w:szCs w:val="20"/>
              </w:rPr>
              <w:t>36.5%</w:t>
            </w:r>
          </w:p>
        </w:tc>
        <w:tc>
          <w:tcPr>
            <w:tcW w:w="1820" w:type="dxa"/>
            <w:tcBorders>
              <w:top w:val="single" w:sz="1" w:space="0" w:color="CCCCCC"/>
              <w:left w:val="single" w:sz="1" w:space="0" w:color="CCCCCC"/>
              <w:bottom w:val="single" w:sz="1" w:space="0" w:color="CCCCCC"/>
              <w:right w:val="single" w:sz="1" w:space="0" w:color="CCCCCC"/>
            </w:tcBorders>
            <w:shd w:val="clear" w:color="auto" w:fill="FBEDED"/>
            <w:tcMar>
              <w:top w:w="60" w:type="dxa"/>
              <w:left w:w="110" w:type="dxa"/>
              <w:bottom w:w="60" w:type="dxa"/>
              <w:right w:w="110" w:type="dxa"/>
            </w:tcMar>
          </w:tcPr>
          <w:p w14:paraId="224E6A48" w14:textId="77777777" w:rsidR="00855897" w:rsidRDefault="00000000">
            <w:r>
              <w:rPr>
                <w:color w:val="B23B3B"/>
                <w:sz w:val="20"/>
                <w:szCs w:val="20"/>
              </w:rPr>
              <w:t>Not supported</w:t>
            </w:r>
          </w:p>
        </w:tc>
      </w:tr>
      <w:tr w:rsidR="00855897" w14:paraId="4FDA3EAC"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936F9B6" w14:textId="77777777" w:rsidR="00855897" w:rsidRDefault="00000000">
            <w:r>
              <w:rPr>
                <w:color w:val="333333"/>
                <w:sz w:val="20"/>
                <w:szCs w:val="20"/>
              </w:rPr>
              <w:t>Percentage of net</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2D16A78A" w14:textId="77777777" w:rsidR="00855897" w:rsidRDefault="00000000">
            <w:pPr>
              <w:jc w:val="center"/>
            </w:pPr>
            <w:r>
              <w:rPr>
                <w:color w:val="333333"/>
                <w:sz w:val="20"/>
                <w:szCs w:val="20"/>
              </w:rPr>
              <w:t>103</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59262C9A" w14:textId="77777777" w:rsidR="00855897" w:rsidRDefault="00000000">
            <w:pPr>
              <w:jc w:val="center"/>
            </w:pPr>
            <w:r>
              <w:rPr>
                <w:color w:val="333333"/>
                <w:sz w:val="20"/>
                <w:szCs w:val="20"/>
              </w:rPr>
              <w:t>20.3%</w:t>
            </w:r>
          </w:p>
        </w:tc>
        <w:tc>
          <w:tcPr>
            <w:tcW w:w="1820" w:type="dxa"/>
            <w:tcBorders>
              <w:top w:val="single" w:sz="1" w:space="0" w:color="CCCCCC"/>
              <w:left w:val="single" w:sz="1" w:space="0" w:color="CCCCCC"/>
              <w:bottom w:val="single" w:sz="1" w:space="0" w:color="CCCCCC"/>
              <w:right w:val="single" w:sz="1" w:space="0" w:color="CCCCCC"/>
            </w:tcBorders>
            <w:shd w:val="clear" w:color="auto" w:fill="FBEDED"/>
            <w:tcMar>
              <w:top w:w="60" w:type="dxa"/>
              <w:left w:w="110" w:type="dxa"/>
              <w:bottom w:w="60" w:type="dxa"/>
              <w:right w:w="110" w:type="dxa"/>
            </w:tcMar>
          </w:tcPr>
          <w:p w14:paraId="2889F720" w14:textId="77777777" w:rsidR="00855897" w:rsidRDefault="00000000">
            <w:r>
              <w:rPr>
                <w:color w:val="B23B3B"/>
                <w:sz w:val="20"/>
                <w:szCs w:val="20"/>
              </w:rPr>
              <w:t>Not supported</w:t>
            </w:r>
          </w:p>
        </w:tc>
      </w:tr>
      <w:tr w:rsidR="00855897" w14:paraId="688B40AA"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02A3213B" w14:textId="77777777" w:rsidR="00855897" w:rsidRDefault="00000000">
            <w:r>
              <w:rPr>
                <w:color w:val="333333"/>
                <w:sz w:val="20"/>
                <w:szCs w:val="20"/>
              </w:rPr>
              <w:t>Door</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73E989E" w14:textId="77777777" w:rsidR="00855897" w:rsidRDefault="00000000">
            <w:pPr>
              <w:jc w:val="center"/>
            </w:pPr>
            <w:r>
              <w:rPr>
                <w:color w:val="333333"/>
                <w:sz w:val="20"/>
                <w:szCs w:val="20"/>
              </w:rPr>
              <w:t>29</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771CA7B" w14:textId="77777777" w:rsidR="00855897" w:rsidRDefault="00000000">
            <w:pPr>
              <w:jc w:val="center"/>
            </w:pPr>
            <w:r>
              <w:rPr>
                <w:color w:val="333333"/>
                <w:sz w:val="20"/>
                <w:szCs w:val="20"/>
              </w:rPr>
              <w:t>5.7%</w:t>
            </w:r>
          </w:p>
        </w:tc>
        <w:tc>
          <w:tcPr>
            <w:tcW w:w="1820" w:type="dxa"/>
            <w:tcBorders>
              <w:top w:val="single" w:sz="1" w:space="0" w:color="CCCCCC"/>
              <w:left w:val="single" w:sz="1" w:space="0" w:color="CCCCCC"/>
              <w:bottom w:val="single" w:sz="1" w:space="0" w:color="CCCCCC"/>
              <w:right w:val="single" w:sz="1" w:space="0" w:color="CCCCCC"/>
            </w:tcBorders>
            <w:shd w:val="clear" w:color="auto" w:fill="FBEDED"/>
            <w:tcMar>
              <w:top w:w="60" w:type="dxa"/>
              <w:left w:w="110" w:type="dxa"/>
              <w:bottom w:w="60" w:type="dxa"/>
              <w:right w:w="110" w:type="dxa"/>
            </w:tcMar>
          </w:tcPr>
          <w:p w14:paraId="73719C6F" w14:textId="77777777" w:rsidR="00855897" w:rsidRDefault="00000000">
            <w:r>
              <w:rPr>
                <w:color w:val="B23B3B"/>
                <w:sz w:val="20"/>
                <w:szCs w:val="20"/>
              </w:rPr>
              <w:t>Not supported</w:t>
            </w:r>
          </w:p>
        </w:tc>
      </w:tr>
      <w:tr w:rsidR="00855897" w14:paraId="561C2108" w14:textId="77777777">
        <w:tblPrEx>
          <w:tblCellMar>
            <w:top w:w="0" w:type="dxa"/>
            <w:bottom w:w="0" w:type="dxa"/>
          </w:tblCellMar>
        </w:tblPrEx>
        <w:tc>
          <w:tcPr>
            <w:tcW w:w="390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13C9ACA" w14:textId="77777777" w:rsidR="00855897" w:rsidRDefault="00000000">
            <w:r>
              <w:rPr>
                <w:color w:val="333333"/>
                <w:sz w:val="20"/>
                <w:szCs w:val="20"/>
              </w:rPr>
              <w:t>Percentage of gross</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4D0B19D7" w14:textId="77777777" w:rsidR="00855897" w:rsidRDefault="00000000">
            <w:pPr>
              <w:jc w:val="center"/>
            </w:pPr>
            <w:r>
              <w:rPr>
                <w:color w:val="333333"/>
                <w:sz w:val="20"/>
                <w:szCs w:val="20"/>
              </w:rPr>
              <w:t>16</w:t>
            </w:r>
          </w:p>
        </w:tc>
        <w:tc>
          <w:tcPr>
            <w:tcW w:w="1820" w:type="dxa"/>
            <w:tcBorders>
              <w:top w:val="single" w:sz="1" w:space="0" w:color="CCCCCC"/>
              <w:left w:val="single" w:sz="1" w:space="0" w:color="CCCCCC"/>
              <w:bottom w:val="single" w:sz="1" w:space="0" w:color="CCCCCC"/>
              <w:right w:val="single" w:sz="1" w:space="0" w:color="CCCCCC"/>
            </w:tcBorders>
            <w:tcMar>
              <w:top w:w="60" w:type="dxa"/>
              <w:left w:w="110" w:type="dxa"/>
              <w:bottom w:w="60" w:type="dxa"/>
              <w:right w:w="110" w:type="dxa"/>
            </w:tcMar>
          </w:tcPr>
          <w:p w14:paraId="3DEB1A82" w14:textId="77777777" w:rsidR="00855897" w:rsidRDefault="00000000">
            <w:pPr>
              <w:jc w:val="center"/>
            </w:pPr>
            <w:r>
              <w:rPr>
                <w:color w:val="333333"/>
                <w:sz w:val="20"/>
                <w:szCs w:val="20"/>
              </w:rPr>
              <w:t>3.2%</w:t>
            </w:r>
          </w:p>
        </w:tc>
        <w:tc>
          <w:tcPr>
            <w:tcW w:w="1820" w:type="dxa"/>
            <w:tcBorders>
              <w:top w:val="single" w:sz="1" w:space="0" w:color="CCCCCC"/>
              <w:left w:val="single" w:sz="1" w:space="0" w:color="CCCCCC"/>
              <w:bottom w:val="single" w:sz="1" w:space="0" w:color="CCCCCC"/>
              <w:right w:val="single" w:sz="1" w:space="0" w:color="CCCCCC"/>
            </w:tcBorders>
            <w:shd w:val="clear" w:color="auto" w:fill="EAF6EE"/>
            <w:tcMar>
              <w:top w:w="60" w:type="dxa"/>
              <w:left w:w="110" w:type="dxa"/>
              <w:bottom w:w="60" w:type="dxa"/>
              <w:right w:w="110" w:type="dxa"/>
            </w:tcMar>
          </w:tcPr>
          <w:p w14:paraId="7F64B90D" w14:textId="77777777" w:rsidR="00855897" w:rsidRDefault="00000000">
            <w:r>
              <w:rPr>
                <w:b/>
                <w:bCs/>
                <w:color w:val="2E7D4F"/>
                <w:sz w:val="20"/>
                <w:szCs w:val="20"/>
              </w:rPr>
              <w:t>Supported</w:t>
            </w:r>
          </w:p>
        </w:tc>
      </w:tr>
    </w:tbl>
    <w:p w14:paraId="102C0CBF" w14:textId="77777777" w:rsidR="00855897" w:rsidRDefault="00855897">
      <w:pPr>
        <w:spacing w:after="120"/>
      </w:pPr>
    </w:p>
    <w:p w14:paraId="04F1B0E4" w14:textId="77777777" w:rsidR="00855897" w:rsidRDefault="00000000">
      <w:pPr>
        <w:spacing w:before="80" w:after="130" w:line="300" w:lineRule="auto"/>
      </w:pPr>
      <w:r>
        <w:t>The vs bucket alone is 36.5%, bigger than flat, and the existing settlement tool cannot touch it. Mariana did not switch to Google Sheets because she likes Google Sheets; she switched because 62.5% of her shows cannot be settled in Greenroom.</w:t>
      </w:r>
    </w:p>
    <w:p w14:paraId="471BC277" w14:textId="77777777" w:rsidR="00855897" w:rsidRDefault="00000000">
      <w:pPr>
        <w:spacing w:before="80" w:after="130" w:line="300" w:lineRule="auto"/>
      </w:pPr>
      <w:r>
        <w:t xml:space="preserve">The vs bucket has its own long tail. Of 195 vs deals, 45.6% are standard, 16.4% have walkout pots, 16.4% are vs-gross variants, 13.8% have ratchets or escalators, and 7.7% carry bonuses on top. The schema has to support all five, and the existing </w:t>
      </w:r>
      <w:r>
        <w:rPr>
          <w:rFonts w:ascii="Consolas" w:eastAsia="Consolas" w:hAnsi="Consolas" w:cs="Consolas"/>
          <w:color w:val="2E5A88"/>
          <w:sz w:val="20"/>
          <w:szCs w:val="20"/>
        </w:rPr>
        <w:t>bonusesJson.tier_ratchet</w:t>
      </w:r>
      <w:r>
        <w:t xml:space="preserve"> type is structurally wrong for ratchets, since it models them as additive bonuses when ratchets actually replace the percentage at thresholds. dealMath.ts even has a comment acknowledging this gap. That is why the spec adds a separate </w:t>
      </w:r>
      <w:r>
        <w:rPr>
          <w:rFonts w:ascii="Consolas" w:eastAsia="Consolas" w:hAnsi="Consolas" w:cs="Consolas"/>
          <w:color w:val="2E5A88"/>
          <w:sz w:val="20"/>
          <w:szCs w:val="20"/>
        </w:rPr>
        <w:t>ratchetJson</w:t>
      </w:r>
      <w:r>
        <w:t xml:space="preserve"> field instead of overloading bonuses.</w:t>
      </w:r>
    </w:p>
    <w:p w14:paraId="0F002C72" w14:textId="77777777" w:rsidR="00855897" w:rsidRDefault="00000000">
      <w:pPr>
        <w:spacing w:before="80" w:after="130" w:line="300" w:lineRule="auto"/>
      </w:pPr>
      <w:r>
        <w:lastRenderedPageBreak/>
        <w:t>Thirty deals have a prose-versus-structured mismatch on bonuses. 18 describe bonuses in prose but have empty bonuses_json; 12 have JSON populated but prose silent. Each of those is a deal whose terms today are invisible to one half of the system. 100% of deals have parseable freetext in dealNotesFreetext, meaning the LLM has something real to extract from on every deal, but the structured fields are entered inconsistently because they do not model the actual deals well. The truth has always lived in the prose; the slice is about elevating it into something both sides can sign.</w:t>
      </w:r>
    </w:p>
    <w:p w14:paraId="14B5C365" w14:textId="77777777" w:rsidR="00855897" w:rsidRDefault="00000000">
      <w:pPr>
        <w:spacing w:before="80" w:after="130" w:line="300" w:lineRule="auto"/>
      </w:pPr>
      <w:r>
        <w:t>The Coastal Spell deal sits in the data with its retroactive $720 dispute concession note. Worked end to end: gross was $19,840, fees were $1,984, expenses were within the $2,500 cap, and the $900 marketing recoup was either inside or outside the cap. Mariana's math, recoup outside, gave $11,565; Andrea's math, recoup inside, gave $12,285. Under the proposed schema these two readings become visibly different JSON structures; under the current schema there is nowhere to write either reading down.</w:t>
      </w:r>
    </w:p>
    <w:p w14:paraId="1C15B317" w14:textId="77777777" w:rsidR="00855897" w:rsidRDefault="00000000">
      <w:pPr>
        <w:spacing w:before="80" w:after="130" w:line="300" w:lineRule="auto"/>
      </w:pPr>
      <w:r>
        <w:t>A note on rigor: the frontend shows 507 deals but the raw DB has 537. The difference is queries.ts filtering on show date up to today. Both numbers are correct, choose based on whether you are asking what is settled today, 507, or what your slice would gate going forward, 537. I also caught the reports query counting every past show as settled regardless of settlement status, which means the reports page is currently overstating the settled count. Worth fixing, but out of scope for the slice.</w:t>
      </w:r>
    </w:p>
    <w:p w14:paraId="07843214" w14:textId="77777777" w:rsidR="00855897" w:rsidRDefault="00000000">
      <w:pPr>
        <w:pStyle w:val="Heading2"/>
      </w:pPr>
      <w:r>
        <w:t>4. Current workflow vs. proposed workflow</w:t>
      </w:r>
    </w:p>
    <w:p w14:paraId="7581EFFF" w14:textId="77777777" w:rsidR="00855897" w:rsidRDefault="00000000">
      <w:pPr>
        <w:spacing w:before="80" w:after="130" w:line="300" w:lineRule="auto"/>
      </w:pPr>
      <w:r>
        <w:rPr>
          <w:b/>
          <w:bCs/>
        </w:rPr>
        <w:t xml:space="preserve">Architecture principles. </w:t>
      </w:r>
      <w:r>
        <w:t>Three commitments shape the slice. First, schema-first sequencing: the schema additions, walkoutJson, ratchetJson, deductionOrderJson, recoupsAtDealTimeJson, ship in a small low-risk PR, then capture and engine build in parallel against the stable contract. Second, the prime directive, useful and honest, never obstructive: if a deal is not sealed yet the engine still computes but returns dealTermsConfirmed false so the UI renders a preliminary settlement; hard-blocking would push Mariana back to her spreadsheet on day one. Third, bring-your-own-key with a deterministic stub fallback: venues bring their own Anthropic or OpenAI key, encrypted and gated to GM and booker roles, and when no key is configured a stub returns the same shape with a clear banner. The capture flow never breaks, the test suite never breaks, and no one is fooled.</w:t>
      </w:r>
    </w:p>
    <w:p w14:paraId="14E0F576" w14:textId="77777777" w:rsidR="00855897" w:rsidRDefault="00000000">
      <w:pPr>
        <w:spacing w:before="200" w:after="40"/>
        <w:jc w:val="center"/>
      </w:pPr>
      <w:r>
        <w:rPr>
          <w:noProof/>
        </w:rPr>
        <w:lastRenderedPageBreak/>
        <w:drawing>
          <wp:inline distT="0" distB="0" distL="0" distR="0" wp14:anchorId="40A5DCF4" wp14:editId="361A44B9">
            <wp:extent cx="5943600" cy="3495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495675"/>
                    </a:xfrm>
                    <a:prstGeom prst="rect">
                      <a:avLst/>
                    </a:prstGeom>
                  </pic:spPr>
                </pic:pic>
              </a:graphicData>
            </a:graphic>
          </wp:inline>
        </w:drawing>
      </w:r>
    </w:p>
    <w:p w14:paraId="15357208" w14:textId="77777777" w:rsidR="00855897" w:rsidRDefault="00000000">
      <w:pPr>
        <w:spacing w:after="220"/>
        <w:jc w:val="center"/>
      </w:pPr>
      <w:r>
        <w:rPr>
          <w:i/>
          <w:iCs/>
          <w:color w:val="777777"/>
          <w:sz w:val="17"/>
          <w:szCs w:val="17"/>
        </w:rPr>
        <w:t>Figure 1. The workflow shift. Today the deal terms live only in an email and in Mariana's head, so ambiguity is discovered at 2am and litigated the next day. The proposed flow captures the deal as a sealed, structured, shared artifact weeks before the show, then computes from those clean terms on settlement night.</w:t>
      </w:r>
    </w:p>
    <w:p w14:paraId="3E645F4B" w14:textId="77777777" w:rsidR="00855897" w:rsidRDefault="00000000">
      <w:pPr>
        <w:spacing w:before="80" w:after="130" w:line="300" w:lineRule="auto"/>
      </w:pPr>
      <w:r>
        <w:rPr>
          <w:b/>
          <w:bCs/>
        </w:rPr>
        <w:t xml:space="preserve">Today's workflow. </w:t>
      </w:r>
      <w:r>
        <w:t>The show ends around 11pm; the bar closes; the tour manager finds Mariana around midnight. She opens two laptop tabs, Greenroom for the deal terms and ticket sales, her own Google Sheet for the actual math. She copy-pastes the gross and the comp count from Greenroom into the sheet, then types in the expenses she chased earlier that day from the POS, the production manager, the receipts pile, and her marketing notes. The sheet computes the final number. The tour manager reviews it line by line at 2am. She texts Marcus a screenshot for sign-off, wires the payout Monday, and emails a PDF to the agent Tuesday. Roughly 40% of those settlements come back with pushback. The Coastal Spell dispute was one of them: $720 plus the agent goodwill it bought back.</w:t>
      </w:r>
    </w:p>
    <w:p w14:paraId="2BA8978A" w14:textId="77777777" w:rsidR="00855897" w:rsidRDefault="00000000">
      <w:pPr>
        <w:spacing w:before="80" w:after="130" w:line="300" w:lineRule="auto"/>
      </w:pPr>
      <w:r>
        <w:rPr>
          <w:b/>
          <w:bCs/>
        </w:rPr>
        <w:t xml:space="preserve">Proposed workflow, at deal time. </w:t>
      </w:r>
      <w:r>
        <w:t>Wednesday morning, weeks before the show, Mariana pastes the agent's deal email into the capture screen. Claude Opus 4.7 extracts the structured terms with adaptive thinking and flags anything ambiguous as a question card with the original prose quoted back. The Coastal Spell line shows up as a recoup_placement ambiguity with two clear options: recoup inside the $2,500 cap, or recoup as a separate deduction off gross. Mariana picks one, or sends the magic link to the agent and lets Sarah pick. The choice writes back to deductionOrderJson as a capped_bucket structure: two distinguishable JSON shapes for the two readings of the same sentence.</w:t>
      </w:r>
    </w:p>
    <w:p w14:paraId="7DCA540F" w14:textId="77777777" w:rsidR="00855897" w:rsidRDefault="00000000">
      <w:pPr>
        <w:spacing w:before="80" w:after="130" w:line="300" w:lineRule="auto"/>
      </w:pPr>
      <w:r>
        <w:rPr>
          <w:b/>
          <w:bCs/>
        </w:rPr>
        <w:t xml:space="preserve">Proposed workflow, at settlement time. </w:t>
      </w:r>
      <w:r>
        <w:t xml:space="preserve">2am Friday she opens the settle screen. The engine reads the sealed structured terms and computes line by line, showing its work. Every step carries provenance, deal field, expense, ticket sale, comp, bonus, recoup, or computed, so the tour manager can click any number to see where it came from. If anything was unresolved during </w:t>
      </w:r>
      <w:r>
        <w:lastRenderedPageBreak/>
        <w:t>capture, it appears as a skipped line the engine refused to compute, not a silent zero. Unapproved expenses surface as a separate pending-approval line, not muddying the headline number. Hospitality cap is enforced separately from the expense cap by default. If the deal was never sealed, the engine still runs but stamps the output dealTermsConfirmed false and the UI renders a preliminary settlement.</w:t>
      </w:r>
    </w:p>
    <w:p w14:paraId="5607B5DD" w14:textId="77777777" w:rsidR="00855897" w:rsidRDefault="00000000">
      <w:pPr>
        <w:spacing w:before="80" w:after="130" w:line="300" w:lineRule="auto"/>
      </w:pPr>
      <w:r>
        <w:t>The capped_bucket structure is the load-bearing design decision, because it is the exact thing that caused Coastal Spell. The question of whether the recoup is inside or outside the cap is not about position in a list, it is about membership in the capped group. A flat ordered list cannot express that. A grouped structure can.</w:t>
      </w:r>
    </w:p>
    <w:p w14:paraId="00D8C737" w14:textId="77777777" w:rsidR="00855897" w:rsidRDefault="00000000">
      <w:pPr>
        <w:spacing w:before="200" w:after="40"/>
        <w:jc w:val="center"/>
      </w:pPr>
      <w:r>
        <w:rPr>
          <w:noProof/>
        </w:rPr>
        <w:drawing>
          <wp:inline distT="0" distB="0" distL="0" distR="0" wp14:anchorId="28CB3D02" wp14:editId="17F03A5D">
            <wp:extent cx="5943600" cy="3638550"/>
            <wp:effectExtent l="0" t="0" r="0" b="0"/>
            <wp:docPr id="1478411288" name="Picture 14784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638550"/>
                    </a:xfrm>
                    <a:prstGeom prst="rect">
                      <a:avLst/>
                    </a:prstGeom>
                  </pic:spPr>
                </pic:pic>
              </a:graphicData>
            </a:graphic>
          </wp:inline>
        </w:drawing>
      </w:r>
    </w:p>
    <w:p w14:paraId="175F39FD" w14:textId="77777777" w:rsidR="00855897" w:rsidRDefault="00000000">
      <w:pPr>
        <w:spacing w:after="220"/>
        <w:jc w:val="center"/>
      </w:pPr>
      <w:r>
        <w:rPr>
          <w:i/>
          <w:iCs/>
          <w:color w:val="777777"/>
          <w:sz w:val="17"/>
          <w:szCs w:val="17"/>
        </w:rPr>
        <w:t>Figure 2. Why the schema does real work. The same sentence and the same inputs produce two valid readings that are $720 apart. Inside-versus-outside the cap is membership in the capped_bucket, not order in a flat list. Recording the bucket membership is what lets the sealed Deal Sheet capture exactly which reading both sides agreed to.</w:t>
      </w:r>
    </w:p>
    <w:p w14:paraId="3B404A72" w14:textId="77777777" w:rsidR="00855897" w:rsidRDefault="00000000">
      <w:pPr>
        <w:spacing w:before="80" w:after="130" w:line="300" w:lineRule="auto"/>
      </w:pPr>
      <w:r>
        <w:rPr>
          <w:b/>
          <w:bCs/>
        </w:rPr>
        <w:t xml:space="preserve">Outcome. </w:t>
      </w:r>
      <w:r>
        <w:t>The math is on the same screen as the deal terms, and the deal terms were agreed to in writing weeks ago. The 2am conversation becomes let me show you instead of let me explain.</w:t>
      </w:r>
    </w:p>
    <w:p w14:paraId="2C74CAD9" w14:textId="77777777" w:rsidR="00855897" w:rsidRDefault="00000000">
      <w:pPr>
        <w:spacing w:before="80" w:after="130" w:line="300" w:lineRule="auto"/>
      </w:pPr>
      <w:r>
        <w:rPr>
          <w:b/>
          <w:bCs/>
        </w:rPr>
        <w:t xml:space="preserve">The anchor proof. </w:t>
      </w:r>
      <w:r>
        <w:t>The two engine demo deals in the prototype, inside-cap and outside-cap, are the same show. Same gross, $19,840. Same expenses, $2,600. Same recoup, $900. They compute to $11,964 versus $11,484, a $480 delta, because the capped_bucket placement of the recoup differs by one JSON object. The same prose would have produced ambiguity; sealed structured terms produce deterministic, divergent answers. This is what the schema doing real work looks like in concrete dollars: the disagreement is categorically explicit before the show ever loads in, instead of erupting at 2am between two people staring at different spreadsheets.</w:t>
      </w:r>
    </w:p>
    <w:p w14:paraId="1796B74F" w14:textId="77777777" w:rsidR="00855897" w:rsidRDefault="00000000">
      <w:pPr>
        <w:pStyle w:val="Heading2"/>
      </w:pPr>
      <w:r>
        <w:lastRenderedPageBreak/>
        <w:t>5. Who this helps and how</w:t>
      </w:r>
    </w:p>
    <w:p w14:paraId="0C030853" w14:textId="77777777" w:rsidR="00855897" w:rsidRDefault="00000000">
      <w:pPr>
        <w:spacing w:before="80" w:after="130" w:line="300" w:lineRule="auto"/>
      </w:pPr>
      <w:r>
        <w:rPr>
          <w:b/>
          <w:bCs/>
        </w:rPr>
        <w:t xml:space="preserve">Coverage shift. </w:t>
      </w:r>
      <w:r>
        <w:t>Before this slice, the in-app engine handled flat and percentage_of_gross only, 37.5% of past deals. After this slice, the engine handles all five deal types: vs adds 36.5%, percentage_of_net adds 20.3%, and door adds 5.7%, along with the variants that account for over half of vs deals, walkout pots, ratchets, and vs-gross. From about 38% engine coverage to effectively 100%. Every shape Mariana actually negotiates now computes inside Greenroom.</w:t>
      </w:r>
    </w:p>
    <w:p w14:paraId="6B631B96" w14:textId="77777777" w:rsidR="00855897" w:rsidRDefault="00000000">
      <w:pPr>
        <w:spacing w:before="80" w:after="130" w:line="300" w:lineRule="auto"/>
      </w:pPr>
      <w:r>
        <w:rPr>
          <w:b/>
          <w:bCs/>
        </w:rPr>
        <w:t xml:space="preserve">What it solves for Mariana. </w:t>
      </w:r>
      <w:r>
        <w:t>Each design choice traces back to a direct line in the transcripts.</w:t>
      </w:r>
    </w:p>
    <w:p w14:paraId="5426359D" w14:textId="77777777" w:rsidR="00855897" w:rsidRDefault="00000000">
      <w:pPr>
        <w:pStyle w:val="ListParagraph"/>
        <w:numPr>
          <w:ilvl w:val="0"/>
          <w:numId w:val="2"/>
        </w:numPr>
        <w:spacing w:before="60" w:after="60" w:line="290" w:lineRule="auto"/>
      </w:pPr>
      <w:r>
        <w:rPr>
          <w:i/>
          <w:iCs/>
        </w:rPr>
        <w:t xml:space="preserve">Your tool cannot do vs deals, so I do it in a Google Sheet. </w:t>
      </w:r>
      <w:r>
        <w:t>The engine now computes vs, pct-net, and door plus every variant. The spreadsheet has no remaining job. Today she keeps two tabs open and copy-pastes numbers between them; after this slice the math lives where the deal terms live.</w:t>
      </w:r>
    </w:p>
    <w:p w14:paraId="58E3A612" w14:textId="77777777" w:rsidR="00855897" w:rsidRDefault="00000000">
      <w:pPr>
        <w:pStyle w:val="ListParagraph"/>
        <w:numPr>
          <w:ilvl w:val="0"/>
          <w:numId w:val="2"/>
        </w:numPr>
        <w:spacing w:before="60" w:after="60" w:line="290" w:lineRule="auto"/>
      </w:pPr>
      <w:r>
        <w:rPr>
          <w:i/>
          <w:iCs/>
        </w:rPr>
        <w:t xml:space="preserve">If you could just have all the expenses ready when I sat down to settle, that alone would change my life. </w:t>
      </w:r>
      <w:r>
        <w:t>Unapproved expenses surface as a separate pending line on the worksheet, visible but not muddying the headline. The Wednesday-versus-Friday gap is made honest rather than hidden.</w:t>
      </w:r>
    </w:p>
    <w:p w14:paraId="3066D8CE" w14:textId="77777777" w:rsidR="00855897" w:rsidRDefault="00000000">
      <w:pPr>
        <w:pStyle w:val="ListParagraph"/>
        <w:numPr>
          <w:ilvl w:val="0"/>
          <w:numId w:val="2"/>
        </w:numPr>
        <w:spacing w:before="60" w:after="60" w:line="290" w:lineRule="auto"/>
      </w:pPr>
      <w:r>
        <w:rPr>
          <w:i/>
          <w:iCs/>
        </w:rPr>
        <w:t xml:space="preserve">Every line in my spreadsheet has a sourceable breakdown. </w:t>
      </w:r>
      <w:r>
        <w:t>Every step in the engine output carries its source type and a link back to the source row. The tour manager can click any number and see exactly where it came from. The show-your-work standard she enforces by hand is now native to the engine.</w:t>
      </w:r>
    </w:p>
    <w:p w14:paraId="74982FA0" w14:textId="77777777" w:rsidR="00855897" w:rsidRDefault="00000000">
      <w:pPr>
        <w:pStyle w:val="ListParagraph"/>
        <w:numPr>
          <w:ilvl w:val="0"/>
          <w:numId w:val="2"/>
        </w:numPr>
        <w:spacing w:before="60" w:after="60" w:line="290" w:lineRule="auto"/>
      </w:pPr>
      <w:r>
        <w:t>The 25-hour-a-month settlement overhead Marcus quoted is mostly the spreadsheet ritual itself, copy-paste, manual expense entry, manual reconciliation. With the engine producing the same answer in-app and showing its work, that overhead collapses without changing the conversation at 2am. Same conversation, less typing, one fewer place for numbers to diverge.</w:t>
      </w:r>
    </w:p>
    <w:p w14:paraId="0D67F055" w14:textId="77777777" w:rsidR="00855897" w:rsidRDefault="00000000">
      <w:pPr>
        <w:pStyle w:val="ListParagraph"/>
        <w:numPr>
          <w:ilvl w:val="0"/>
          <w:numId w:val="2"/>
        </w:numPr>
        <w:spacing w:before="60" w:after="60" w:line="290" w:lineRule="auto"/>
      </w:pPr>
      <w:r>
        <w:rPr>
          <w:i/>
          <w:iCs/>
        </w:rPr>
        <w:t xml:space="preserve">I want fewer surprises in that 2am conversation. </w:t>
      </w:r>
      <w:r>
        <w:t>Capture at deal time means ambiguities, recoup placement, expense scope, percentage basis, are resolved Wednesday by the agent, not discovered at 2am Friday. The Coastal Spell class of dispute is structurally prevented, not just better managed.</w:t>
      </w:r>
    </w:p>
    <w:p w14:paraId="677BB33C" w14:textId="77777777" w:rsidR="00855897" w:rsidRDefault="00000000">
      <w:pPr>
        <w:spacing w:before="80" w:after="130" w:line="300" w:lineRule="auto"/>
      </w:pPr>
      <w:r>
        <w:rPr>
          <w:b/>
          <w:bCs/>
        </w:rPr>
        <w:t xml:space="preserve">What it solves for the agent. </w:t>
      </w:r>
      <w:r>
        <w:t>Sarah Kim's three trust criteria for a good settlement statement map one to one onto the engine's output.</w:t>
      </w:r>
    </w:p>
    <w:p w14:paraId="0F97F425" w14:textId="77777777" w:rsidR="00855897" w:rsidRDefault="00000000">
      <w:pPr>
        <w:pStyle w:val="ListParagraph"/>
        <w:numPr>
          <w:ilvl w:val="0"/>
          <w:numId w:val="2"/>
        </w:numPr>
        <w:spacing w:before="60" w:after="60" w:line="290" w:lineRule="auto"/>
      </w:pPr>
      <w:r>
        <w:rPr>
          <w:b/>
          <w:bCs/>
        </w:rPr>
        <w:t xml:space="preserve">Itemization. </w:t>
      </w:r>
      <w:r>
        <w:t>Every deduction is its own line; no opaque miscellaneous expenses rollup.</w:t>
      </w:r>
    </w:p>
    <w:p w14:paraId="537DDFC5" w14:textId="77777777" w:rsidR="00855897" w:rsidRDefault="00000000">
      <w:pPr>
        <w:pStyle w:val="ListParagraph"/>
        <w:numPr>
          <w:ilvl w:val="0"/>
          <w:numId w:val="2"/>
        </w:numPr>
        <w:spacing w:before="60" w:after="60" w:line="290" w:lineRule="auto"/>
      </w:pPr>
      <w:r>
        <w:rPr>
          <w:b/>
          <w:bCs/>
        </w:rPr>
        <w:t xml:space="preserve">Provenance. </w:t>
      </w:r>
      <w:r>
        <w:t>Every line has a source type and source id; the receipts and ticket sales the engine read are referenceable.</w:t>
      </w:r>
    </w:p>
    <w:p w14:paraId="1EFE687A" w14:textId="77777777" w:rsidR="00855897" w:rsidRDefault="00000000">
      <w:pPr>
        <w:pStyle w:val="ListParagraph"/>
        <w:numPr>
          <w:ilvl w:val="0"/>
          <w:numId w:val="2"/>
        </w:numPr>
        <w:spacing w:before="60" w:after="60" w:line="290" w:lineRule="auto"/>
      </w:pPr>
      <w:r>
        <w:rPr>
          <w:b/>
          <w:bCs/>
        </w:rPr>
        <w:t xml:space="preserve">Tone. </w:t>
      </w:r>
      <w:r>
        <w:t>The worksheet renders the work, not the answer. Sarah's some statements feel like a fait accompli describes the failure mode; this shape inverts it.</w:t>
      </w:r>
    </w:p>
    <w:p w14:paraId="20FAD6FB" w14:textId="77777777" w:rsidR="00855897" w:rsidRDefault="00000000">
      <w:pPr>
        <w:spacing w:before="80" w:after="130" w:line="300" w:lineRule="auto"/>
      </w:pPr>
      <w:r>
        <w:t>Her larger ask, a version of the deal we both agreed on in one place, is the sealed Deal Sheet. Settlement becomes a structured collaboration between the venue and the agency, not an asymmetric document the venue sends the next morning. The recoup placement gets resolved before settlement night, not contested after.</w:t>
      </w:r>
    </w:p>
    <w:p w14:paraId="521619AC" w14:textId="77777777" w:rsidR="00855897" w:rsidRDefault="00000000">
      <w:pPr>
        <w:spacing w:before="80" w:after="130" w:line="300" w:lineRule="auto"/>
      </w:pPr>
      <w:r>
        <w:t xml:space="preserve">The bookend: Mariana's dependence on her Google Sheet is downstream of two things, the engine could not compute her deals, and even when it could it did not show its work to her standard. Both </w:t>
      </w:r>
      <w:r>
        <w:lastRenderedPageBreak/>
        <w:t>root causes are addressed in the same slice. The sheet stops being load-bearing the day the engine ships, not the day she decides to switch.</w:t>
      </w:r>
    </w:p>
    <w:p w14:paraId="34E3C80E" w14:textId="77777777" w:rsidR="00855897" w:rsidRDefault="00000000">
      <w:pPr>
        <w:pStyle w:val="Heading2"/>
      </w:pPr>
      <w:r>
        <w:t>6. Validation with real bookers and agents</w:t>
      </w:r>
    </w:p>
    <w:p w14:paraId="217EA27F" w14:textId="77777777" w:rsidR="00855897" w:rsidRDefault="00000000">
      <w:pPr>
        <w:spacing w:before="80" w:after="130" w:line="300" w:lineRule="auto"/>
      </w:pPr>
      <w:r>
        <w:t>The validation plan has to answer two distinct questions: does the extractor read prose accurately, and does the engine match what Mariana would have computed by hand.</w:t>
      </w:r>
    </w:p>
    <w:p w14:paraId="122C9AB6" w14:textId="77777777" w:rsidR="00855897" w:rsidRDefault="00000000">
      <w:pPr>
        <w:spacing w:before="80" w:after="130" w:line="300" w:lineRule="auto"/>
      </w:pPr>
      <w:r>
        <w:rPr>
          <w:b/>
          <w:bCs/>
        </w:rPr>
        <w:t xml:space="preserve">Extractor quality. </w:t>
      </w:r>
      <w:r>
        <w:t>Hand-label 50 historical deals across all five deal types from Mariana's spreadsheets. Run the extractor. Measure three things: field-by-field accuracy, ambiguity-detection recall against the known-ambiguous cases, and false-confidence rate, how often the model assigns high confidence to a field it actually got wrong. The Coastal Spell row is the regression test, it must always trigger a recoup_placement ambiguity. If the prompt ever stops flagging it, we have broken the load-bearing behavior.</w:t>
      </w:r>
    </w:p>
    <w:p w14:paraId="5437F0E9" w14:textId="77777777" w:rsidR="00855897" w:rsidRDefault="00000000">
      <w:pPr>
        <w:spacing w:before="80" w:after="130" w:line="300" w:lineRule="auto"/>
      </w:pPr>
      <w:r>
        <w:rPr>
          <w:b/>
          <w:bCs/>
        </w:rPr>
        <w:t xml:space="preserve">Engine parity. </w:t>
      </w:r>
      <w:r>
        <w:t>Take Mariana's spreadsheets for about 30 past shows spanning all deal types and variants, 5 flat, 5 pct-gross, 5 pct-net, 10 vs including walkout, ratchet, and vs-gross, and 5 door. Hand-populate the new structured fields from her deal notes. Run the engine. Assert engine output matches her total to artist within $1. Any divergence is either an engine bug or a real ambiguity she resolved by judgment in her sheet, in which case we surface it as a deal ambiguity and get her resolution on the record. That second case is the capture side catching up to her tacit knowledge, and it is a feature, not a failure.</w:t>
      </w:r>
    </w:p>
    <w:p w14:paraId="129B1D75" w14:textId="77777777" w:rsidR="00855897" w:rsidRDefault="00000000">
      <w:pPr>
        <w:spacing w:before="80" w:after="130" w:line="300" w:lineRule="auto"/>
      </w:pPr>
      <w:r>
        <w:rPr>
          <w:b/>
          <w:bCs/>
        </w:rPr>
        <w:t xml:space="preserve">Adoption metrics. </w:t>
      </w:r>
      <w:r>
        <w:t>Fraction of new shows that have a Deal Sheet created within 7 days of paste. Targets: 70% in Phase 1, 90% in Phase 2 after iterating on the agent UX. If Mariana does not reach for it, nothing else matters.</w:t>
      </w:r>
    </w:p>
    <w:p w14:paraId="63C5D3F7" w14:textId="77777777" w:rsidR="00855897" w:rsidRDefault="00000000">
      <w:pPr>
        <w:spacing w:before="80" w:after="130" w:line="300" w:lineRule="auto"/>
      </w:pPr>
      <w:r>
        <w:rPr>
          <w:b/>
          <w:bCs/>
        </w:rPr>
        <w:t xml:space="preserve">The headline metric. </w:t>
      </w:r>
      <w:r>
        <w:t>Dispute rate on shows settled via a sealed Deal Sheet plus engine versus the comparison group, measured over two quarters. The Coastal Spell class of dispute, recoup placement, expense scope, percentage basis, should approach zero on sealed deals. Marcus's $720 events and Sarah's one-in-30-turns-into-a-real-dispute rate are the numbers we expect to move.</w:t>
      </w:r>
    </w:p>
    <w:p w14:paraId="3761947E" w14:textId="77777777" w:rsidR="00855897" w:rsidRDefault="00000000">
      <w:pPr>
        <w:spacing w:before="80" w:after="130" w:line="300" w:lineRule="auto"/>
      </w:pPr>
      <w:r>
        <w:rPr>
          <w:b/>
          <w:bCs/>
        </w:rPr>
        <w:t xml:space="preserve">Direct user feedback loop. </w:t>
      </w:r>
      <w:r>
        <w:t>Mariana reviews extractor output on real deals before the prompt ships. The ambiguity-resolution questions go out as actual emails to actual agents, so they have to read like emails an agent would answer, not like form inputs. Sarah is an honest first reader: the deal email needed three more sentences to be unambiguous, they never got written because deal emails get written at 11pm by overworked agents. The whole capture flow exists to write those three sentences in a place both sides can sign.</w:t>
      </w:r>
    </w:p>
    <w:p w14:paraId="358A7B31" w14:textId="77777777" w:rsidR="00855897" w:rsidRDefault="00000000">
      <w:pPr>
        <w:pStyle w:val="Heading2"/>
      </w:pPr>
      <w:r>
        <w:t>7. How this makes Greenroom the real operating system for venues</w:t>
      </w:r>
    </w:p>
    <w:p w14:paraId="1CA4E357" w14:textId="77777777" w:rsidR="00855897" w:rsidRDefault="00000000">
      <w:pPr>
        <w:spacing w:before="80" w:after="130" w:line="300" w:lineRule="auto"/>
      </w:pPr>
      <w:r>
        <w:t>Greenroom's pitch is that it is the operating system for independent music venues. That word matters, and it is worth taking literally. An operating system is not judged by how many applications it bundles. It is judged by whether it reliably runs the operations that the people on top of it depend on. A venue can tolerate a mediocre calendar or a clunky advance workspace, because those are conveniences. It cannot tolerate getting the money wrong, because that is the operation the whole business runs on.</w:t>
      </w:r>
    </w:p>
    <w:p w14:paraId="7CB24097" w14:textId="034A68C2" w:rsidR="00855897" w:rsidRDefault="00000000">
      <w:pPr>
        <w:spacing w:before="80" w:after="130" w:line="300" w:lineRule="auto"/>
      </w:pPr>
      <w:r>
        <w:lastRenderedPageBreak/>
        <w:t>That is why settlement is the test of the claim. Settlement is where three things the venue cannot afford to lose all meet at once: the money the artist takes home, the trust of the agent who decides future routing, and the venue's own margin. It is the single operation where being wrong is existential, the place Marcus signs off at 2am on blind faith and where one bad call quietly costs $80K of routing a year later. If Greenroom is the operating system for venues, this is the operation it most needs to run well. Today it does not run it at all. 82% of the base does it in a spreadsheet, which means on the operation that matters most, Greenroom is not the operating system. It is a tab next to the operating system.</w:t>
      </w:r>
    </w:p>
    <w:p w14:paraId="5D64E5B4" w14:textId="77777777" w:rsidR="00855897" w:rsidRDefault="00000000">
      <w:pPr>
        <w:spacing w:before="80" w:after="130" w:line="300" w:lineRule="auto"/>
      </w:pPr>
      <w:r>
        <w:t>This slice is what closes that gap, and it does it in the way an operating system should, by owning the system of record rather than just the workflow on top of it. The Deal Sheet becomes the canonical version of the deal that today lives only in an email and in Mariana's head. The engine computes from that record and shows its work, so the number the artist signs and the number the agent reads the next morning trace back to the same source. The platform stops being a place where data is entered and becomes the place where the truth of the deal lives. That is the difference between a product that stores information and a system other people build their decisions on.</w:t>
      </w:r>
    </w:p>
    <w:p w14:paraId="02CD062F" w14:textId="77777777" w:rsidR="00855897" w:rsidRDefault="00000000">
      <w:pPr>
        <w:spacing w:before="80" w:after="130" w:line="300" w:lineRule="auto"/>
      </w:pPr>
      <w:r>
        <w:t>It also compounds, which is the other thing a real operating system does. Once the deal is a structured, sealed record instead of prose, every adjacent operation Pri named gets easier to build on top of it. The advance workspace can pre-populate from the same record. The reports Marcus does not trust today become trustworthy because they read from sealed terms rather than inconsistent fields. The agent relationship gets a shared artifact instead of an asymmetric PDF. None of those are in this slice, and that is the point. You build the operating system by getting the foundational record right first, then letting everything else stand on it. Settlement is where that foundation is currently missing, so settlement is where the operating system has to start being real.</w:t>
      </w:r>
    </w:p>
    <w:p w14:paraId="0E72D9BF" w14:textId="77777777" w:rsidR="00855897" w:rsidRDefault="00000000">
      <w:pPr>
        <w:pStyle w:val="Heading2"/>
      </w:pPr>
      <w:r>
        <w:t>8. What I would ship next</w:t>
      </w:r>
    </w:p>
    <w:p w14:paraId="67182F5B" w14:textId="77777777" w:rsidR="00855897" w:rsidRDefault="00000000">
      <w:pPr>
        <w:spacing w:before="80" w:after="130" w:line="300" w:lineRule="auto"/>
      </w:pPr>
      <w:r>
        <w:t>Phase 2 is the obvious follow-on once Phase 1 has six months of operating data.</w:t>
      </w:r>
    </w:p>
    <w:p w14:paraId="25DDA508" w14:textId="77777777" w:rsidR="00855897" w:rsidRDefault="00000000">
      <w:pPr>
        <w:pStyle w:val="ListParagraph"/>
        <w:numPr>
          <w:ilvl w:val="0"/>
          <w:numId w:val="2"/>
        </w:numPr>
        <w:spacing w:before="60" w:after="60" w:line="290" w:lineRule="auto"/>
      </w:pPr>
      <w:r>
        <w:rPr>
          <w:b/>
          <w:bCs/>
        </w:rPr>
        <w:t xml:space="preserve">Greenroom-managed LLM keys plus token usage on customer billing. </w:t>
      </w:r>
      <w:r>
        <w:t>Bundles key management with billing so they ship together, removing the bring-your-own-key setup friction for venues that find it too high.</w:t>
      </w:r>
    </w:p>
    <w:p w14:paraId="4310D7C2" w14:textId="77777777" w:rsidR="00855897" w:rsidRDefault="00000000">
      <w:pPr>
        <w:pStyle w:val="ListParagraph"/>
        <w:numPr>
          <w:ilvl w:val="0"/>
          <w:numId w:val="2"/>
        </w:numPr>
        <w:spacing w:before="60" w:after="60" w:line="290" w:lineRule="auto"/>
      </w:pPr>
      <w:r>
        <w:rPr>
          <w:b/>
          <w:bCs/>
        </w:rPr>
        <w:t xml:space="preserve">Backfill of already-settled historical deals. </w:t>
      </w:r>
      <w:r>
        <w:t>Same components as Phase 1 in scan-existing-prose mode. The unsettled-shows backfill is in Phase 1 scope since those artists have not been paid yet; the already-settled backfill exists only for the dispute-rate comparison group.</w:t>
      </w:r>
    </w:p>
    <w:p w14:paraId="7831FBA0" w14:textId="77777777" w:rsidR="00855897" w:rsidRDefault="00000000">
      <w:pPr>
        <w:pStyle w:val="ListParagraph"/>
        <w:numPr>
          <w:ilvl w:val="0"/>
          <w:numId w:val="2"/>
        </w:numPr>
        <w:spacing w:before="60" w:after="60" w:line="290" w:lineRule="auto"/>
      </w:pPr>
      <w:r>
        <w:rPr>
          <w:b/>
          <w:bCs/>
        </w:rPr>
        <w:t xml:space="preserve">Email-forward ingestion. </w:t>
      </w:r>
      <w:r>
        <w:t>An inbound address with auto-association by subject line. The paste-into-form entry point ships first because it has no infrastructure dependency.</w:t>
      </w:r>
    </w:p>
    <w:p w14:paraId="308F1446" w14:textId="77777777" w:rsidR="00855897" w:rsidRDefault="00000000">
      <w:pPr>
        <w:pStyle w:val="ListParagraph"/>
        <w:numPr>
          <w:ilvl w:val="0"/>
          <w:numId w:val="2"/>
        </w:numPr>
        <w:spacing w:before="60" w:after="60" w:line="290" w:lineRule="auto"/>
      </w:pPr>
      <w:r>
        <w:rPr>
          <w:b/>
          <w:bCs/>
        </w:rPr>
        <w:t xml:space="preserve">PDF advance document parsing. </w:t>
      </w:r>
      <w:r>
        <w:t>Pri's second sore point. Same LLM pattern, different input shape.</w:t>
      </w:r>
    </w:p>
    <w:p w14:paraId="7C0991AD" w14:textId="77777777" w:rsidR="00855897" w:rsidRDefault="00000000">
      <w:pPr>
        <w:pStyle w:val="ListParagraph"/>
        <w:numPr>
          <w:ilvl w:val="0"/>
          <w:numId w:val="2"/>
        </w:numPr>
        <w:spacing w:before="60" w:after="60" w:line="290" w:lineRule="auto"/>
      </w:pPr>
      <w:r>
        <w:rPr>
          <w:b/>
          <w:bCs/>
        </w:rPr>
        <w:t xml:space="preserve">Three-way confirmation including artist management. </w:t>
      </w:r>
      <w:r>
        <w:t>Adds the CC'd party with view-only escalating to co-signer where artist management is contractually in the loop.</w:t>
      </w:r>
    </w:p>
    <w:p w14:paraId="1626884B" w14:textId="77777777" w:rsidR="00855897" w:rsidRDefault="00000000">
      <w:pPr>
        <w:pStyle w:val="ListParagraph"/>
        <w:numPr>
          <w:ilvl w:val="0"/>
          <w:numId w:val="2"/>
        </w:numPr>
        <w:spacing w:before="60" w:after="60" w:line="290" w:lineRule="auto"/>
      </w:pPr>
      <w:r>
        <w:rPr>
          <w:b/>
          <w:bCs/>
        </w:rPr>
        <w:lastRenderedPageBreak/>
        <w:t xml:space="preserve">Wednesday pre-show scan. </w:t>
      </w:r>
      <w:r>
        <w:t>Auto-runs the extractor five days before the show and surfaces new ambiguities for resolution before settlement night. Directly addresses Marcus's wish to see on Wednesday that a deal is going to have an ambiguous expense fight.</w:t>
      </w:r>
    </w:p>
    <w:p w14:paraId="5F477531" w14:textId="77777777" w:rsidR="00855897" w:rsidRDefault="00000000">
      <w:pPr>
        <w:pStyle w:val="ListParagraph"/>
        <w:numPr>
          <w:ilvl w:val="0"/>
          <w:numId w:val="2"/>
        </w:numPr>
        <w:spacing w:before="60" w:after="60" w:line="290" w:lineRule="auto"/>
      </w:pPr>
      <w:r>
        <w:rPr>
          <w:b/>
          <w:bCs/>
        </w:rPr>
        <w:t xml:space="preserve">Agent-side dashboard. </w:t>
      </w:r>
      <w:r>
        <w:t>Once magic links have adoption, Sarah will want one view of all pending deals from one venue.</w:t>
      </w:r>
    </w:p>
    <w:p w14:paraId="5367D1BC" w14:textId="77777777" w:rsidR="00855897" w:rsidRDefault="00000000">
      <w:pPr>
        <w:pStyle w:val="ListParagraph"/>
        <w:numPr>
          <w:ilvl w:val="0"/>
          <w:numId w:val="2"/>
        </w:numPr>
        <w:spacing w:before="60" w:after="60" w:line="290" w:lineRule="auto"/>
      </w:pPr>
      <w:r>
        <w:rPr>
          <w:b/>
          <w:bCs/>
        </w:rPr>
        <w:t xml:space="preserve">Snapshot versus additive ticket_sales correction flag. </w:t>
      </w:r>
      <w:r>
        <w:t>A schema deferral noted in the spec; the Phase 1 comment is the warning shot for future maintainers.</w:t>
      </w:r>
    </w:p>
    <w:p w14:paraId="50E5F994" w14:textId="77777777" w:rsidR="00855897" w:rsidRDefault="00000000">
      <w:pPr>
        <w:pStyle w:val="ListParagraph"/>
        <w:numPr>
          <w:ilvl w:val="0"/>
          <w:numId w:val="2"/>
        </w:numPr>
        <w:spacing w:before="60" w:after="60" w:line="290" w:lineRule="auto"/>
      </w:pPr>
      <w:r>
        <w:rPr>
          <w:b/>
          <w:bCs/>
        </w:rPr>
        <w:t xml:space="preserve">Deal-level comp counting rules. </w:t>
      </w:r>
      <w:r>
        <w:t>Deferred; ships if per-row drift becomes a production problem.</w:t>
      </w:r>
    </w:p>
    <w:p w14:paraId="21A48C44" w14:textId="77777777" w:rsidR="00855897" w:rsidRDefault="00000000">
      <w:pPr>
        <w:spacing w:before="80" w:after="130" w:line="300" w:lineRule="auto"/>
      </w:pPr>
      <w:r>
        <w:t>The bet is that Pri's go deep, be honest about trade-offs, applied to settlement looks like this: stop trying to make the existing tool cover more cases and start fixing the upstream artifact the tool reads from. The capped_bucket schema is the load-bearing fact. The engine's refusal to silently default is the operating discipline. The Deal Sheet is the social contract between Mariana and Sarah that the email never quite was. If The Crescent's lease conversation in March 2027 includes the line agents trust us to settle cleanly, this is the slice that got us there.</w:t>
      </w:r>
    </w:p>
    <w:sectPr w:rsidR="008558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1866"/>
    <w:multiLevelType w:val="hybridMultilevel"/>
    <w:tmpl w:val="8DF0CC02"/>
    <w:lvl w:ilvl="0" w:tplc="19CE347A">
      <w:start w:val="1"/>
      <w:numFmt w:val="bullet"/>
      <w:lvlText w:val="●"/>
      <w:lvlJc w:val="left"/>
      <w:pPr>
        <w:ind w:left="720" w:hanging="360"/>
      </w:pPr>
    </w:lvl>
    <w:lvl w:ilvl="1" w:tplc="A446A87A">
      <w:start w:val="1"/>
      <w:numFmt w:val="bullet"/>
      <w:lvlText w:val="○"/>
      <w:lvlJc w:val="left"/>
      <w:pPr>
        <w:ind w:left="1440" w:hanging="360"/>
      </w:pPr>
    </w:lvl>
    <w:lvl w:ilvl="2" w:tplc="DE108FCE">
      <w:start w:val="1"/>
      <w:numFmt w:val="bullet"/>
      <w:lvlText w:val="■"/>
      <w:lvlJc w:val="left"/>
      <w:pPr>
        <w:ind w:left="2160" w:hanging="360"/>
      </w:pPr>
    </w:lvl>
    <w:lvl w:ilvl="3" w:tplc="7C8EC850">
      <w:start w:val="1"/>
      <w:numFmt w:val="bullet"/>
      <w:lvlText w:val="●"/>
      <w:lvlJc w:val="left"/>
      <w:pPr>
        <w:ind w:left="2880" w:hanging="360"/>
      </w:pPr>
    </w:lvl>
    <w:lvl w:ilvl="4" w:tplc="63181A54">
      <w:start w:val="1"/>
      <w:numFmt w:val="bullet"/>
      <w:lvlText w:val="○"/>
      <w:lvlJc w:val="left"/>
      <w:pPr>
        <w:ind w:left="3600" w:hanging="360"/>
      </w:pPr>
    </w:lvl>
    <w:lvl w:ilvl="5" w:tplc="5AF26642">
      <w:start w:val="1"/>
      <w:numFmt w:val="bullet"/>
      <w:lvlText w:val="■"/>
      <w:lvlJc w:val="left"/>
      <w:pPr>
        <w:ind w:left="4320" w:hanging="360"/>
      </w:pPr>
    </w:lvl>
    <w:lvl w:ilvl="6" w:tplc="68CCB58E">
      <w:start w:val="1"/>
      <w:numFmt w:val="bullet"/>
      <w:lvlText w:val="●"/>
      <w:lvlJc w:val="left"/>
      <w:pPr>
        <w:ind w:left="5040" w:hanging="360"/>
      </w:pPr>
    </w:lvl>
    <w:lvl w:ilvl="7" w:tplc="A85C6F52">
      <w:start w:val="1"/>
      <w:numFmt w:val="bullet"/>
      <w:lvlText w:val="●"/>
      <w:lvlJc w:val="left"/>
      <w:pPr>
        <w:ind w:left="5760" w:hanging="360"/>
      </w:pPr>
    </w:lvl>
    <w:lvl w:ilvl="8" w:tplc="1CF07F84">
      <w:start w:val="1"/>
      <w:numFmt w:val="bullet"/>
      <w:lvlText w:val="●"/>
      <w:lvlJc w:val="left"/>
      <w:pPr>
        <w:ind w:left="6480" w:hanging="360"/>
      </w:pPr>
    </w:lvl>
  </w:abstractNum>
  <w:abstractNum w:abstractNumId="1" w15:restartNumberingAfterBreak="0">
    <w:nsid w:val="751457A6"/>
    <w:multiLevelType w:val="hybridMultilevel"/>
    <w:tmpl w:val="8F809282"/>
    <w:lvl w:ilvl="0" w:tplc="E794D42A">
      <w:start w:val="1"/>
      <w:numFmt w:val="bullet"/>
      <w:lvlText w:val="•"/>
      <w:lvlJc w:val="left"/>
      <w:pPr>
        <w:ind w:left="460" w:hanging="260"/>
      </w:pPr>
      <w:rPr>
        <w:color w:val="2E5A88"/>
      </w:rPr>
    </w:lvl>
    <w:lvl w:ilvl="1" w:tplc="1180B088">
      <w:numFmt w:val="decimal"/>
      <w:lvlText w:val=""/>
      <w:lvlJc w:val="left"/>
    </w:lvl>
    <w:lvl w:ilvl="2" w:tplc="D5385D32">
      <w:numFmt w:val="decimal"/>
      <w:lvlText w:val=""/>
      <w:lvlJc w:val="left"/>
    </w:lvl>
    <w:lvl w:ilvl="3" w:tplc="B2143750">
      <w:numFmt w:val="decimal"/>
      <w:lvlText w:val=""/>
      <w:lvlJc w:val="left"/>
    </w:lvl>
    <w:lvl w:ilvl="4" w:tplc="4D529FD6">
      <w:numFmt w:val="decimal"/>
      <w:lvlText w:val=""/>
      <w:lvlJc w:val="left"/>
    </w:lvl>
    <w:lvl w:ilvl="5" w:tplc="41E0BDB4">
      <w:numFmt w:val="decimal"/>
      <w:lvlText w:val=""/>
      <w:lvlJc w:val="left"/>
    </w:lvl>
    <w:lvl w:ilvl="6" w:tplc="5A7E012E">
      <w:numFmt w:val="decimal"/>
      <w:lvlText w:val=""/>
      <w:lvlJc w:val="left"/>
    </w:lvl>
    <w:lvl w:ilvl="7" w:tplc="A2840E3E">
      <w:numFmt w:val="decimal"/>
      <w:lvlText w:val=""/>
      <w:lvlJc w:val="left"/>
    </w:lvl>
    <w:lvl w:ilvl="8" w:tplc="C4EADA10">
      <w:numFmt w:val="decimal"/>
      <w:lvlText w:val=""/>
      <w:lvlJc w:val="left"/>
    </w:lvl>
  </w:abstractNum>
  <w:num w:numId="1" w16cid:durableId="94398783">
    <w:abstractNumId w:val="0"/>
    <w:lvlOverride w:ilvl="0">
      <w:startOverride w:val="1"/>
    </w:lvlOverride>
  </w:num>
  <w:num w:numId="2" w16cid:durableId="5638744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897"/>
    <w:rsid w:val="002924E4"/>
    <w:rsid w:val="00661EE8"/>
    <w:rsid w:val="00855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4564"/>
  <w15:docId w15:val="{B395632C-4740-4095-8BFA-174EC5042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00" w:after="130"/>
      <w:outlineLvl w:val="1"/>
    </w:pPr>
    <w:rPr>
      <w:b/>
      <w:bCs/>
      <w:color w:val="2E5A8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3455</Words>
  <Characters>19695</Characters>
  <Application>Microsoft Office Word</Application>
  <DocSecurity>0</DocSecurity>
  <Lines>164</Lines>
  <Paragraphs>46</Paragraphs>
  <ScaleCrop>false</ScaleCrop>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Amey pal</cp:lastModifiedBy>
  <cp:revision>2</cp:revision>
  <dcterms:created xsi:type="dcterms:W3CDTF">2026-05-22T03:48:00Z</dcterms:created>
  <dcterms:modified xsi:type="dcterms:W3CDTF">2026-05-22T04:03:00Z</dcterms:modified>
</cp:coreProperties>
</file>