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F1E" w:val="clear"/>
            <w:tcMar>
              <w:top w:type="dxa" w:w="480"/>
              <w:left w:type="dxa" w:w="480"/>
              <w:bottom w:type="dxa" w:w="480"/>
              <w:right w:type="dxa" w:w="480"/>
            </w:tcMar>
          </w:tcPr>
          <w:p>
            <w:pPr>
              <w:spacing w:after="160" w:before="0"/>
              <w:jc w:val="center"/>
            </w:pPr>
            <w:r>
              <w:rPr>
                <w:rFonts w:ascii="Arial" w:cs="Arial" w:eastAsia="Arial" w:hAnsi="Arial"/>
                <w:b/>
                <w:bCs/>
                <w:color w:val="00C2FF"/>
                <w:spacing w:val="120"/>
                <w:sz w:val="80"/>
                <w:szCs w:val="80"/>
              </w:rPr>
              <w:t xml:space="preserve">ROBONEXUS</w:t>
            </w:r>
          </w:p>
          <w:p>
            <w:pPr>
              <w:spacing w:after="200" w:before="0"/>
              <w:jc w:val="center"/>
            </w:pPr>
            <w:r>
              <w:rPr>
                <w:rFonts w:ascii="Arial" w:cs="Arial" w:eastAsia="Arial" w:hAnsi="Arial"/>
                <w:i/>
                <w:iCs/>
                <w:color w:val="FFFFFF"/>
                <w:sz w:val="32"/>
                <w:szCs w:val="32"/>
              </w:rPr>
              <w:t xml:space="preserve">The Definitive Robotics Intelligence Platform</w:t>
            </w:r>
          </w:p>
          <w:p>
            <w:pPr>
              <w:spacing w:after="80" w:before="0"/>
              <w:jc w:val="center"/>
            </w:pPr>
            <w:r>
              <w:rPr>
                <w:rFonts w:ascii="Arial" w:cs="Arial" w:eastAsia="Arial" w:hAnsi="Arial"/>
                <w:color w:val="7B2FFF"/>
                <w:sz w:val="24"/>
                <w:szCs w:val="24"/>
              </w:rPr>
              <w:t xml:space="preserve">━━━━━━━━━━━━━━━━━━━━━━━━━━━━━━</w:t>
            </w:r>
          </w:p>
          <w:p>
            <w:pPr>
              <w:spacing w:after="80" w:before="80"/>
              <w:jc w:val="center"/>
            </w:pPr>
            <w:r>
              <w:rPr>
                <w:rFonts w:ascii="Arial" w:cs="Arial" w:eastAsia="Arial" w:hAnsi="Arial"/>
                <w:color w:val="E2E8F0"/>
                <w:sz w:val="22"/>
                <w:szCs w:val="22"/>
              </w:rPr>
              <w:t xml:space="preserve">PRODUCT REQUIREMENTS DOCUMENT  ·  v1.0</w:t>
            </w:r>
          </w:p>
          <w:p>
            <w:pPr>
              <w:spacing w:after="40" w:before="40"/>
              <w:jc w:val="center"/>
            </w:pPr>
            <w:r>
              <w:rPr>
                <w:rFonts w:ascii="Arial" w:cs="Arial" w:eastAsia="Arial" w:hAnsi="Arial"/>
                <w:color w:val="64748B"/>
                <w:spacing w:val="60"/>
                <w:sz w:val="18"/>
                <w:szCs w:val="18"/>
              </w:rPr>
              <w:t xml:space="preserve">CONFIDENTIAL — FOR FOUNDING TEAM USE ONLY</w:t>
            </w:r>
          </w:p>
          <w:p>
            <w:pPr>
              <w:spacing w:after="0" w:before="80"/>
              <w:jc w:val="center"/>
            </w:pPr>
            <w:r>
              <w:rPr>
                <w:rFonts w:ascii="Arial" w:cs="Arial" w:eastAsia="Arial" w:hAnsi="Arial"/>
                <w:color w:val="E2E8F0"/>
                <w:sz w:val="22"/>
                <w:szCs w:val="22"/>
              </w:rPr>
              <w:t xml:space="preserve">March 2026</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4F6FB" w:val="clear"/>
            <w:tcMar>
              <w:top w:type="dxa" w:w="160"/>
              <w:left w:type="dxa" w:w="160"/>
              <w:bottom w:type="dxa" w:w="160"/>
              <w:right w:type="dxa" w:w="160"/>
            </w:tcMar>
          </w:tcPr>
          <w:p>
            <w:pPr>
              <w:jc w:val="center"/>
            </w:pPr>
            <w:r>
              <w:rPr>
                <w:rFonts w:ascii="Arial" w:cs="Arial" w:eastAsia="Arial" w:hAnsi="Arial"/>
                <w:b/>
                <w:bCs/>
                <w:color w:val="7B2FFF"/>
                <w:sz w:val="40"/>
                <w:szCs w:val="40"/>
              </w:rPr>
              <w:t xml:space="preserve">$42B</w:t>
            </w:r>
          </w:p>
          <w:p>
            <w:pPr>
              <w:jc w:val="center"/>
            </w:pPr>
            <w:r>
              <w:rPr>
                <w:rFonts w:ascii="Arial" w:cs="Arial" w:eastAsia="Arial" w:hAnsi="Arial"/>
                <w:color w:val="64748B"/>
                <w:sz w:val="18"/>
                <w:szCs w:val="18"/>
              </w:rPr>
              <w:t xml:space="preserve">Consumer Robotics
Market 2026</w:t>
            </w:r>
          </w:p>
        </w:tc>
        <w:tc>
          <w:tcPr>
            <w:tcW w:type="dxa" w:w="2340"/>
            <w:tcBorders>
              <w:top w:val="none" w:color="FFFFFF" w:sz="0"/>
              <w:left w:val="none" w:color="FFFFFF" w:sz="0"/>
              <w:bottom w:val="none" w:color="FFFFFF" w:sz="0"/>
              <w:right w:val="none" w:color="FFFFFF" w:sz="0"/>
            </w:tcBorders>
            <w:shd w:fill="F4F6FB" w:val="clear"/>
            <w:tcMar>
              <w:top w:type="dxa" w:w="160"/>
              <w:left w:type="dxa" w:w="160"/>
              <w:bottom w:type="dxa" w:w="160"/>
              <w:right w:type="dxa" w:w="160"/>
            </w:tcMar>
          </w:tcPr>
          <w:p>
            <w:pPr>
              <w:jc w:val="center"/>
            </w:pPr>
            <w:r>
              <w:rPr>
                <w:rFonts w:ascii="Arial" w:cs="Arial" w:eastAsia="Arial" w:hAnsi="Arial"/>
                <w:b/>
                <w:bCs/>
                <w:color w:val="7B2FFF"/>
                <w:sz w:val="40"/>
                <w:szCs w:val="40"/>
              </w:rPr>
              <w:t xml:space="preserve">$284B</w:t>
            </w:r>
          </w:p>
          <w:p>
            <w:pPr>
              <w:jc w:val="center"/>
            </w:pPr>
            <w:r>
              <w:rPr>
                <w:rFonts w:ascii="Arial" w:cs="Arial" w:eastAsia="Arial" w:hAnsi="Arial"/>
                <w:color w:val="64748B"/>
                <w:sz w:val="18"/>
                <w:szCs w:val="18"/>
              </w:rPr>
              <w:t xml:space="preserve">Projected Market
Size 2035</w:t>
            </w:r>
          </w:p>
        </w:tc>
        <w:tc>
          <w:tcPr>
            <w:tcW w:type="dxa" w:w="2340"/>
            <w:tcBorders>
              <w:top w:val="none" w:color="FFFFFF" w:sz="0"/>
              <w:left w:val="none" w:color="FFFFFF" w:sz="0"/>
              <w:bottom w:val="none" w:color="FFFFFF" w:sz="0"/>
              <w:right w:val="none" w:color="FFFFFF" w:sz="0"/>
            </w:tcBorders>
            <w:shd w:fill="F4F6FB" w:val="clear"/>
            <w:tcMar>
              <w:top w:type="dxa" w:w="160"/>
              <w:left w:type="dxa" w:w="160"/>
              <w:bottom w:type="dxa" w:w="160"/>
              <w:right w:type="dxa" w:w="160"/>
            </w:tcMar>
          </w:tcPr>
          <w:p>
            <w:pPr>
              <w:jc w:val="center"/>
            </w:pPr>
            <w:r>
              <w:rPr>
                <w:rFonts w:ascii="Arial" w:cs="Arial" w:eastAsia="Arial" w:hAnsi="Arial"/>
                <w:b/>
                <w:bCs/>
                <w:color w:val="7B2FFF"/>
                <w:sz w:val="40"/>
                <w:szCs w:val="40"/>
              </w:rPr>
              <w:t xml:space="preserve">$10M</w:t>
            </w:r>
          </w:p>
          <w:p>
            <w:pPr>
              <w:jc w:val="center"/>
            </w:pPr>
            <w:r>
              <w:rPr>
                <w:rFonts w:ascii="Arial" w:cs="Arial" w:eastAsia="Arial" w:hAnsi="Arial"/>
                <w:color w:val="64748B"/>
                <w:sz w:val="18"/>
                <w:szCs w:val="18"/>
              </w:rPr>
              <w:t xml:space="preserve">Target MRR
Year 3</w:t>
            </w:r>
          </w:p>
        </w:tc>
        <w:tc>
          <w:tcPr>
            <w:tcW w:type="dxa" w:w="2340"/>
            <w:tcBorders>
              <w:top w:val="none" w:color="FFFFFF" w:sz="0"/>
              <w:left w:val="none" w:color="FFFFFF" w:sz="0"/>
              <w:bottom w:val="none" w:color="FFFFFF" w:sz="0"/>
              <w:right w:val="none" w:color="FFFFFF" w:sz="0"/>
            </w:tcBorders>
            <w:shd w:fill="F4F6FB" w:val="clear"/>
            <w:tcMar>
              <w:top w:type="dxa" w:w="160"/>
              <w:left w:type="dxa" w:w="160"/>
              <w:bottom w:type="dxa" w:w="160"/>
              <w:right w:type="dxa" w:w="160"/>
            </w:tcMar>
          </w:tcPr>
          <w:p>
            <w:pPr>
              <w:jc w:val="center"/>
            </w:pPr>
            <w:r>
              <w:rPr>
                <w:rFonts w:ascii="Arial" w:cs="Arial" w:eastAsia="Arial" w:hAnsi="Arial"/>
                <w:b/>
                <w:bCs/>
                <w:color w:val="7B2FFF"/>
                <w:sz w:val="40"/>
                <w:szCs w:val="40"/>
              </w:rPr>
              <w:t xml:space="preserve">0.01%</w:t>
            </w:r>
          </w:p>
          <w:p>
            <w:pPr>
              <w:jc w:val="center"/>
            </w:pPr>
            <w:r>
              <w:rPr>
                <w:rFonts w:ascii="Arial" w:cs="Arial" w:eastAsia="Arial" w:hAnsi="Arial"/>
                <w:color w:val="64748B"/>
                <w:sz w:val="18"/>
                <w:szCs w:val="18"/>
              </w:rPr>
              <w:t xml:space="preserve">Execution
Standard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0A0F1E" w:val="clear"/>
            <w:tcMar>
              <w:top w:type="dxa" w:w="120"/>
              <w:left w:type="dxa" w:w="160"/>
              <w:bottom w:type="dxa" w:w="120"/>
              <w:right w:type="dxa" w:w="160"/>
            </w:tcMar>
            <w:vAlign w:val="center"/>
          </w:tcPr>
          <w:p>
            <w:pPr>
              <w:jc w:val="center"/>
            </w:pPr>
            <w:r>
              <w:rPr>
                <w:rFonts w:ascii="Arial" w:cs="Arial" w:eastAsia="Arial" w:hAnsi="Arial"/>
                <w:b/>
                <w:bCs/>
                <w:color w:val="00C2FF"/>
                <w:sz w:val="28"/>
                <w:szCs w:val="28"/>
              </w:rPr>
              <w:t xml:space="preserve">01</w:t>
            </w:r>
          </w:p>
        </w:tc>
        <w:tc>
          <w:tcPr>
            <w:tcW w:type="dxa" w:w="8560"/>
            <w:tcBorders>
              <w:top w:val="none" w:color="FFFFFF" w:sz="0"/>
              <w:left w:val="none" w:color="FFFFFF" w:sz="0"/>
              <w:bottom w:val="none" w:color="FFFFFF" w:sz="0"/>
              <w:right w:val="none" w:color="FFFFFF" w:sz="0"/>
            </w:tcBorders>
            <w:shd w:fill="F4F6FB" w:val="clear"/>
            <w:tcMar>
              <w:top w:type="dxa" w:w="120"/>
              <w:left w:type="dxa" w:w="200"/>
              <w:bottom w:type="dxa" w:w="120"/>
              <w:right w:type="dxa" w:w="160"/>
            </w:tcMar>
            <w:vAlign w:val="center"/>
          </w:tcPr>
          <w:p>
            <w:r>
              <w:rPr>
                <w:rFonts w:ascii="Arial" w:cs="Arial" w:eastAsia="Arial" w:hAnsi="Arial"/>
                <w:b/>
                <w:bCs/>
                <w:color w:val="0A0F1E"/>
                <w:spacing w:val="40"/>
                <w:sz w:val="28"/>
                <w:szCs w:val="28"/>
              </w:rPr>
              <w:t xml:space="preserve">EXECUTIVE SUMMARY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C2FF" w:sz="12"/>
              <w:bottom w:val="none" w:color="FFFFFF" w:sz="0"/>
              <w:right w:val="none" w:color="FFFFFF" w:sz="0"/>
            </w:tcBorders>
            <w:shd w:fill="EFF6FF" w:val="clear"/>
            <w:tcMar>
              <w:top w:type="dxa" w:w="120"/>
              <w:left w:type="dxa" w:w="240"/>
              <w:bottom w:type="dxa" w:w="120"/>
              <w:right w:type="dxa" w:w="240"/>
            </w:tcMar>
          </w:tcPr>
          <w:p>
            <w:r>
              <w:rPr>
                <w:rFonts w:ascii="Arial" w:cs="Arial" w:eastAsia="Arial" w:hAnsi="Arial"/>
                <w:i/>
                <w:iCs/>
                <w:color w:val="1A202C"/>
                <w:sz w:val="22"/>
                <w:szCs w:val="22"/>
              </w:rPr>
              <w:t xml:space="preserve">RoboNexus is the world's first AI-native robotics intelligence platform — combining expert reviews, personalized AI purchasing guidance, an open marketplace, education, and community into a single destination. We are building the "Consumer Reports + Amazon + YouTube" of the robotics era.</w:t>
            </w:r>
          </w:p>
        </w:tc>
      </w:tr>
    </w:tbl>
    <w:p>
      <w:pPr>
        <w:spacing w:after="0" w:before="120"/>
      </w:pPr>
      <w:r>
        <w:t xml:space="preserve"/>
      </w:r>
    </w:p>
    <w:p>
      <w:pPr>
        <w:pStyle w:val="Heading2"/>
        <w:spacing w:after="160" w:before="360"/>
      </w:pPr>
      <w:r>
        <w:rPr>
          <w:rFonts w:ascii="Arial" w:cs="Arial" w:eastAsia="Arial" w:hAnsi="Arial"/>
          <w:b/>
          <w:bCs/>
          <w:color w:val="0A0F1E"/>
          <w:sz w:val="30"/>
          <w:szCs w:val="30"/>
        </w:rPr>
        <w:t xml:space="preserve">The Opportunity</w:t>
      </w:r>
    </w:p>
    <w:p>
      <w:pPr>
        <w:spacing w:after="80" w:before="80"/>
      </w:pPr>
      <w:r>
        <w:rPr>
          <w:rFonts w:ascii="Arial" w:cs="Arial" w:eastAsia="Arial" w:hAnsi="Arial"/>
          <w:color w:val="1A202C"/>
          <w:sz w:val="22"/>
          <w:szCs w:val="22"/>
        </w:rPr>
        <w:t xml:space="preserve">We are at the inflection point of consumer robotics. Humanoid robots, service robots, educational bots, and AI-powered home assistants are no longer science fiction — they are shipping products with 6-figure unit volumes today. Yet consumers, businesses, and institutions have no trusted, consolidated resource to navigate this category.</w:t>
      </w:r>
    </w:p>
    <w:p>
      <w:pPr>
        <w:spacing w:after="80" w:before="80"/>
      </w:pPr>
      <w:r>
        <w:rPr>
          <w:rFonts w:ascii="Arial" w:cs="Arial" w:eastAsia="Arial" w:hAnsi="Arial"/>
          <w:color w:val="1A202C"/>
          <w:sz w:val="22"/>
          <w:szCs w:val="22"/>
        </w:rPr>
        <w:t xml:space="preserve">The last time a transformative consumer technology category emerged without a dominant information/commerce platform was smartphones in 2007. That gap produced The Verge, GSMArena, Amazon's electronics category, and hundreds of vertical SaaS companies worth hundreds of billions of dollars combined. Robotics is a larger, more complex, and more consequential category — and the platform layer has not been built yet. RoboNexus will build it.</w:t>
      </w:r>
    </w:p>
    <w:p>
      <w:pPr>
        <w:spacing w:after="0" w:before="120"/>
      </w:pPr>
      <w:r>
        <w:t xml:space="preserve"/>
      </w:r>
    </w:p>
    <w:p>
      <w:pPr>
        <w:pStyle w:val="Heading2"/>
        <w:spacing w:after="160" w:before="360"/>
      </w:pPr>
      <w:r>
        <w:rPr>
          <w:rFonts w:ascii="Arial" w:cs="Arial" w:eastAsia="Arial" w:hAnsi="Arial"/>
          <w:b/>
          <w:bCs/>
          <w:color w:val="0A0F1E"/>
          <w:sz w:val="30"/>
          <w:szCs w:val="30"/>
        </w:rPr>
        <w:t xml:space="preserve">The Problem We Solve</w:t>
      </w:r>
    </w:p>
    <w:p>
      <w:pPr>
        <w:pStyle w:val="ListParagraph"/>
        <w:numPr>
          <w:ilvl w:val="0"/>
          <w:numId w:val="2"/>
        </w:numPr>
        <w:spacing w:after="60" w:before="60"/>
      </w:pPr>
      <w:r>
        <w:rPr>
          <w:rFonts w:ascii="Arial" w:cs="Arial" w:eastAsia="Arial" w:hAnsi="Arial"/>
          <w:color w:val="1A202C"/>
          <w:sz w:val="22"/>
          <w:szCs w:val="22"/>
        </w:rPr>
        <w:t xml:space="preserve">Consumers have no trusted, consolidated source for robot discovery, research, and purchasing</w:t>
      </w:r>
    </w:p>
    <w:p>
      <w:pPr>
        <w:pStyle w:val="ListParagraph"/>
        <w:numPr>
          <w:ilvl w:val="0"/>
          <w:numId w:val="2"/>
        </w:numPr>
        <w:spacing w:after="60" w:before="60"/>
      </w:pPr>
      <w:r>
        <w:rPr>
          <w:rFonts w:ascii="Arial" w:cs="Arial" w:eastAsia="Arial" w:hAnsi="Arial"/>
          <w:color w:val="1A202C"/>
          <w:sz w:val="22"/>
          <w:szCs w:val="22"/>
        </w:rPr>
        <w:t xml:space="preserve">Robotics manufacturers have no category-native commerce and review infrastructure</w:t>
      </w:r>
    </w:p>
    <w:p>
      <w:pPr>
        <w:pStyle w:val="ListParagraph"/>
        <w:numPr>
          <w:ilvl w:val="0"/>
          <w:numId w:val="2"/>
        </w:numPr>
        <w:spacing w:after="60" w:before="60"/>
      </w:pPr>
      <w:r>
        <w:rPr>
          <w:rFonts w:ascii="Arial" w:cs="Arial" w:eastAsia="Arial" w:hAnsi="Arial"/>
          <w:color w:val="1A202C"/>
          <w:sz w:val="22"/>
          <w:szCs w:val="22"/>
        </w:rPr>
        <w:t xml:space="preserve">Enterprises lack a trusted vendor assessment and marketplace layer for robotics procurement</w:t>
      </w:r>
    </w:p>
    <w:p>
      <w:pPr>
        <w:pStyle w:val="ListParagraph"/>
        <w:numPr>
          <w:ilvl w:val="0"/>
          <w:numId w:val="2"/>
        </w:numPr>
        <w:spacing w:after="60" w:before="60"/>
      </w:pPr>
      <w:r>
        <w:rPr>
          <w:rFonts w:ascii="Arial" w:cs="Arial" w:eastAsia="Arial" w:hAnsi="Arial"/>
          <w:color w:val="1A202C"/>
          <w:sz w:val="22"/>
          <w:szCs w:val="22"/>
        </w:rPr>
        <w:t xml:space="preserve">Developers and hobbyists have no single community hub connecting learning, parts, and projects</w:t>
      </w:r>
    </w:p>
    <w:p>
      <w:pPr>
        <w:pStyle w:val="ListParagraph"/>
        <w:numPr>
          <w:ilvl w:val="0"/>
          <w:numId w:val="2"/>
        </w:numPr>
        <w:spacing w:after="60" w:before="60"/>
      </w:pPr>
      <w:r>
        <w:rPr>
          <w:rFonts w:ascii="Arial" w:cs="Arial" w:eastAsia="Arial" w:hAnsi="Arial"/>
          <w:color w:val="1A202C"/>
          <w:sz w:val="22"/>
          <w:szCs w:val="22"/>
        </w:rPr>
        <w:t xml:space="preserve">The robotics ecosystem is fragmented across Reddit, YouTube, niche forums, and manufacturer sites with zero AI-powered guidance</w:t>
      </w:r>
    </w:p>
    <w:p>
      <w:pPr>
        <w:spacing w:after="0" w:before="120"/>
      </w:pPr>
      <w:r>
        <w:t xml:space="preserve"/>
      </w:r>
    </w:p>
    <w:p>
      <w:pPr>
        <w:pStyle w:val="Heading2"/>
        <w:spacing w:after="160" w:before="360"/>
      </w:pPr>
      <w:r>
        <w:rPr>
          <w:rFonts w:ascii="Arial" w:cs="Arial" w:eastAsia="Arial" w:hAnsi="Arial"/>
          <w:b/>
          <w:bCs/>
          <w:color w:val="0A0F1E"/>
          <w:sz w:val="30"/>
          <w:szCs w:val="30"/>
        </w:rPr>
        <w:t xml:space="preserve">Our Solution</w:t>
      </w:r>
    </w:p>
    <w:p>
      <w:pPr>
        <w:spacing w:after="80" w:before="80"/>
      </w:pPr>
      <w:r>
        <w:rPr>
          <w:rFonts w:ascii="Arial" w:cs="Arial" w:eastAsia="Arial" w:hAnsi="Arial"/>
          <w:color w:val="1A202C"/>
          <w:sz w:val="22"/>
          <w:szCs w:val="22"/>
        </w:rPr>
        <w:t xml:space="preserve">RoboNexus is a vertically integrated platform with five core modules:</w:t>
      </w:r>
    </w:p>
    <w:p>
      <w:pPr>
        <w:pStyle w:val="ListParagraph"/>
        <w:numPr>
          <w:ilvl w:val="0"/>
          <w:numId w:val="3"/>
        </w:numPr>
        <w:spacing w:after="60" w:before="60"/>
      </w:pPr>
      <w:r>
        <w:rPr>
          <w:rFonts w:ascii="Arial" w:cs="Arial" w:eastAsia="Arial" w:hAnsi="Arial"/>
          <w:color w:val="1A202C"/>
          <w:sz w:val="22"/>
          <w:szCs w:val="22"/>
        </w:rPr>
        <w:t xml:space="preserve">RoboIntel — AI-powered discovery, education, and purchase advisory engine</w:t>
      </w:r>
    </w:p>
    <w:p>
      <w:pPr>
        <w:pStyle w:val="ListParagraph"/>
        <w:numPr>
          <w:ilvl w:val="0"/>
          <w:numId w:val="3"/>
        </w:numPr>
        <w:spacing w:after="60" w:before="60"/>
      </w:pPr>
      <w:r>
        <w:rPr>
          <w:rFonts w:ascii="Arial" w:cs="Arial" w:eastAsia="Arial" w:hAnsi="Arial"/>
          <w:color w:val="1A202C"/>
          <w:sz w:val="22"/>
          <w:szCs w:val="22"/>
        </w:rPr>
        <w:t xml:space="preserve">RoboReview — Expert + community review platform with structured benchmarking</w:t>
      </w:r>
    </w:p>
    <w:p>
      <w:pPr>
        <w:pStyle w:val="ListParagraph"/>
        <w:numPr>
          <w:ilvl w:val="0"/>
          <w:numId w:val="3"/>
        </w:numPr>
        <w:spacing w:after="60" w:before="60"/>
      </w:pPr>
      <w:r>
        <w:rPr>
          <w:rFonts w:ascii="Arial" w:cs="Arial" w:eastAsia="Arial" w:hAnsi="Arial"/>
          <w:color w:val="1A202C"/>
          <w:sz w:val="22"/>
          <w:szCs w:val="22"/>
        </w:rPr>
        <w:t xml:space="preserve">RoboMarket — Buy/sell/trade marketplace for new, refurbished, and used robots</w:t>
      </w:r>
    </w:p>
    <w:p>
      <w:pPr>
        <w:pStyle w:val="ListParagraph"/>
        <w:numPr>
          <w:ilvl w:val="0"/>
          <w:numId w:val="3"/>
        </w:numPr>
        <w:spacing w:after="60" w:before="60"/>
      </w:pPr>
      <w:r>
        <w:rPr>
          <w:rFonts w:ascii="Arial" w:cs="Arial" w:eastAsia="Arial" w:hAnsi="Arial"/>
          <w:color w:val="1A202C"/>
          <w:sz w:val="22"/>
          <w:szCs w:val="22"/>
        </w:rPr>
        <w:t xml:space="preserve">RoboLearn — Educational content, tutorials, and certification pathways</w:t>
      </w:r>
    </w:p>
    <w:p>
      <w:pPr>
        <w:pStyle w:val="ListParagraph"/>
        <w:numPr>
          <w:ilvl w:val="0"/>
          <w:numId w:val="3"/>
        </w:numPr>
        <w:spacing w:after="60" w:before="60"/>
      </w:pPr>
      <w:r>
        <w:rPr>
          <w:rFonts w:ascii="Arial" w:cs="Arial" w:eastAsia="Arial" w:hAnsi="Arial"/>
          <w:color w:val="1A202C"/>
          <w:sz w:val="22"/>
          <w:szCs w:val="22"/>
        </w:rPr>
        <w:t xml:space="preserve">RoboConnect — Developer/enterprise integrations, APIs, and ecosystem hub</w:t>
      </w:r>
    </w:p>
    <w:p>
      <w:pPr>
        <w:spacing w:after="0" w:before="120"/>
      </w:pPr>
      <w:r>
        <w:t xml:space="preserve"/>
      </w:r>
    </w:p>
    <w:p>
      <w:pPr>
        <w:pStyle w:val="Heading2"/>
        <w:spacing w:after="160" w:before="360"/>
      </w:pPr>
      <w:r>
        <w:rPr>
          <w:rFonts w:ascii="Arial" w:cs="Arial" w:eastAsia="Arial" w:hAnsi="Arial"/>
          <w:b/>
          <w:bCs/>
          <w:color w:val="0A0F1E"/>
          <w:sz w:val="30"/>
          <w:szCs w:val="30"/>
        </w:rPr>
        <w:t xml:space="preserve">Business Model</w:t>
      </w:r>
    </w:p>
    <w:p>
      <w:pPr>
        <w:pStyle w:val="ListParagraph"/>
        <w:numPr>
          <w:ilvl w:val="0"/>
          <w:numId w:val="2"/>
        </w:numPr>
        <w:spacing w:after="60" w:before="60"/>
      </w:pPr>
      <w:r>
        <w:rPr>
          <w:rFonts w:ascii="Arial" w:cs="Arial" w:eastAsia="Arial" w:hAnsi="Arial"/>
          <w:color w:val="1A202C"/>
          <w:sz w:val="22"/>
          <w:szCs w:val="22"/>
        </w:rPr>
        <w:t xml:space="preserve">Marketplace GMV take rate (8-15% on transactions)</w:t>
      </w:r>
    </w:p>
    <w:p>
      <w:pPr>
        <w:pStyle w:val="ListParagraph"/>
        <w:numPr>
          <w:ilvl w:val="0"/>
          <w:numId w:val="2"/>
        </w:numPr>
        <w:spacing w:after="60" w:before="60"/>
      </w:pPr>
      <w:r>
        <w:rPr>
          <w:rFonts w:ascii="Arial" w:cs="Arial" w:eastAsia="Arial" w:hAnsi="Arial"/>
          <w:color w:val="1A202C"/>
          <w:sz w:val="22"/>
          <w:szCs w:val="22"/>
        </w:rPr>
        <w:t xml:space="preserve">Affiliate commerce commissions (5-12% from manufacturer partners)</w:t>
      </w:r>
    </w:p>
    <w:p>
      <w:pPr>
        <w:pStyle w:val="ListParagraph"/>
        <w:numPr>
          <w:ilvl w:val="0"/>
          <w:numId w:val="2"/>
        </w:numPr>
        <w:spacing w:after="60" w:before="60"/>
      </w:pPr>
      <w:r>
        <w:rPr>
          <w:rFonts w:ascii="Arial" w:cs="Arial" w:eastAsia="Arial" w:hAnsi="Arial"/>
          <w:color w:val="1A202C"/>
          <w:sz w:val="22"/>
          <w:szCs w:val="22"/>
        </w:rPr>
        <w:t xml:space="preserve">RoboNexus Pro subscription — $49/mo consumers, $299/mo enterprise</w:t>
      </w:r>
    </w:p>
    <w:p>
      <w:pPr>
        <w:pStyle w:val="ListParagraph"/>
        <w:numPr>
          <w:ilvl w:val="0"/>
          <w:numId w:val="2"/>
        </w:numPr>
        <w:spacing w:after="60" w:before="60"/>
      </w:pPr>
      <w:r>
        <w:rPr>
          <w:rFonts w:ascii="Arial" w:cs="Arial" w:eastAsia="Arial" w:hAnsi="Arial"/>
          <w:color w:val="1A202C"/>
          <w:sz w:val="22"/>
          <w:szCs w:val="22"/>
        </w:rPr>
        <w:t xml:space="preserve">Sponsored placement and brand intelligence products (B2B)</w:t>
      </w:r>
    </w:p>
    <w:p>
      <w:pPr>
        <w:pStyle w:val="ListParagraph"/>
        <w:numPr>
          <w:ilvl w:val="0"/>
          <w:numId w:val="2"/>
        </w:numPr>
        <w:spacing w:after="60" w:before="60"/>
      </w:pPr>
      <w:r>
        <w:rPr>
          <w:rFonts w:ascii="Arial" w:cs="Arial" w:eastAsia="Arial" w:hAnsi="Arial"/>
          <w:color w:val="1A202C"/>
          <w:sz w:val="22"/>
          <w:szCs w:val="22"/>
        </w:rPr>
        <w:t xml:space="preserve">White-label platform licensing to retailers, distributors, and OEMs</w:t>
      </w:r>
    </w:p>
    <w:p>
      <w:pPr>
        <w:pStyle w:val="ListParagraph"/>
        <w:numPr>
          <w:ilvl w:val="0"/>
          <w:numId w:val="2"/>
        </w:numPr>
        <w:spacing w:after="60" w:before="60"/>
      </w:pPr>
      <w:r>
        <w:rPr>
          <w:rFonts w:ascii="Arial" w:cs="Arial" w:eastAsia="Arial" w:hAnsi="Arial"/>
          <w:color w:val="1A202C"/>
          <w:sz w:val="22"/>
          <w:szCs w:val="22"/>
        </w:rPr>
        <w:t xml:space="preserve">Data and market intelligence reports ($2,500-$50,000)</w:t>
      </w:r>
    </w:p>
    <w:p>
      <w:pPr>
        <w:spacing w:after="0" w:before="120"/>
      </w:pPr>
      <w:r>
        <w:t xml:space="preserve"/>
      </w:r>
    </w:p>
    <w:p>
      <w:pPr>
        <w:pStyle w:val="Heading2"/>
        <w:spacing w:after="160" w:before="360"/>
      </w:pPr>
      <w:r>
        <w:rPr>
          <w:rFonts w:ascii="Arial" w:cs="Arial" w:eastAsia="Arial" w:hAnsi="Arial"/>
          <w:b/>
          <w:bCs/>
          <w:color w:val="0A0F1E"/>
          <w:sz w:val="30"/>
          <w:szCs w:val="30"/>
        </w:rPr>
        <w:t xml:space="preserve">Financial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E2E8F0" w:sz="1"/>
              <w:left w:val="single" w:color="E2E8F0" w:sz="1"/>
              <w:bottom w:val="single" w:color="E2E8F0" w:sz="1"/>
              <w:right w:val="single" w:color="E2E8F0" w:sz="1"/>
            </w:tcBorders>
            <w:shd w:fill="0A0F1E" w:val="clear"/>
            <w:tcMar>
              <w:top w:type="dxa" w:w="80"/>
              <w:left w:type="dxa" w:w="120"/>
              <w:bottom w:type="dxa" w:w="80"/>
              <w:right w:type="dxa" w:w="80"/>
            </w:tcMar>
          </w:tcPr>
          <w:p>
            <w:r>
              <w:rPr>
                <w:rFonts w:ascii="Arial" w:cs="Arial" w:eastAsia="Arial" w:hAnsi="Arial"/>
                <w:b/>
                <w:bCs/>
                <w:color w:val="FFFFFF"/>
                <w:sz w:val="20"/>
                <w:szCs w:val="20"/>
              </w:rPr>
              <w:t xml:space="preserve">Milestone</w:t>
            </w:r>
          </w:p>
        </w:tc>
        <w:tc>
          <w:tcPr>
            <w:tcW w:type="dxa" w:w="2340"/>
            <w:tcBorders>
              <w:top w:val="single" w:color="E2E8F0" w:sz="1"/>
              <w:left w:val="single" w:color="E2E8F0" w:sz="1"/>
              <w:bottom w:val="single" w:color="E2E8F0" w:sz="1"/>
              <w:right w:val="single" w:color="E2E8F0" w:sz="1"/>
            </w:tcBorders>
            <w:shd w:fill="0A0F1E" w:val="clear"/>
            <w:tcMar>
              <w:top w:type="dxa" w:w="80"/>
              <w:left w:type="dxa" w:w="120"/>
              <w:bottom w:type="dxa" w:w="80"/>
              <w:right w:type="dxa" w:w="80"/>
            </w:tcMar>
          </w:tcPr>
          <w:p>
            <w:r>
              <w:rPr>
                <w:rFonts w:ascii="Arial" w:cs="Arial" w:eastAsia="Arial" w:hAnsi="Arial"/>
                <w:b/>
                <w:bCs/>
                <w:color w:val="FFFFFF"/>
                <w:sz w:val="20"/>
                <w:szCs w:val="20"/>
              </w:rPr>
              <w:t xml:space="preserve">Target</w:t>
            </w:r>
          </w:p>
        </w:tc>
        <w:tc>
          <w:tcPr>
            <w:tcW w:type="dxa" w:w="2340"/>
            <w:tcBorders>
              <w:top w:val="single" w:color="E2E8F0" w:sz="1"/>
              <w:left w:val="single" w:color="E2E8F0" w:sz="1"/>
              <w:bottom w:val="single" w:color="E2E8F0" w:sz="1"/>
              <w:right w:val="single" w:color="E2E8F0" w:sz="1"/>
            </w:tcBorders>
            <w:shd w:fill="0A0F1E" w:val="clear"/>
            <w:tcMar>
              <w:top w:type="dxa" w:w="80"/>
              <w:left w:type="dxa" w:w="120"/>
              <w:bottom w:type="dxa" w:w="80"/>
              <w:right w:type="dxa" w:w="80"/>
            </w:tcMar>
          </w:tcPr>
          <w:p>
            <w:r>
              <w:rPr>
                <w:rFonts w:ascii="Arial" w:cs="Arial" w:eastAsia="Arial" w:hAnsi="Arial"/>
                <w:b/>
                <w:bCs/>
                <w:color w:val="FFFFFF"/>
                <w:sz w:val="20"/>
                <w:szCs w:val="20"/>
              </w:rPr>
              <w:t xml:space="preserve">Timeframe</w:t>
            </w:r>
          </w:p>
        </w:tc>
        <w:tc>
          <w:tcPr>
            <w:tcW w:type="dxa" w:w="2340"/>
            <w:tcBorders>
              <w:top w:val="single" w:color="E2E8F0" w:sz="1"/>
              <w:left w:val="single" w:color="E2E8F0" w:sz="1"/>
              <w:bottom w:val="single" w:color="E2E8F0" w:sz="1"/>
              <w:right w:val="single" w:color="E2E8F0" w:sz="1"/>
            </w:tcBorders>
            <w:shd w:fill="0A0F1E" w:val="clear"/>
            <w:tcMar>
              <w:top w:type="dxa" w:w="80"/>
              <w:left w:type="dxa" w:w="120"/>
              <w:bottom w:type="dxa" w:w="80"/>
              <w:right w:type="dxa" w:w="80"/>
            </w:tcMar>
          </w:tcPr>
          <w:p>
            <w:r>
              <w:rPr>
                <w:rFonts w:ascii="Arial" w:cs="Arial" w:eastAsia="Arial" w:hAnsi="Arial"/>
                <w:b/>
                <w:bCs/>
                <w:color w:val="FFFFFF"/>
                <w:sz w:val="20"/>
                <w:szCs w:val="20"/>
              </w:rPr>
              <w:t xml:space="preserve">Key Driver</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20"/>
                <w:szCs w:val="20"/>
              </w:rPr>
              <w:t xml:space="preserve">Seed Revenue</w:t>
            </w:r>
          </w:p>
        </w:tc>
        <w:tc>
          <w:tcPr>
            <w:tcW w:type="dxa" w:w="234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80"/>
            </w:tcMar>
          </w:tcPr>
          <w:p>
            <w:r>
              <w:rPr>
                <w:rFonts w:ascii="Arial" w:cs="Arial" w:eastAsia="Arial" w:hAnsi="Arial"/>
                <w:b/>
                <w:bCs/>
                <w:color w:val="0A0F1E"/>
                <w:sz w:val="20"/>
                <w:szCs w:val="20"/>
              </w:rPr>
              <w:t xml:space="preserve">$100K MRR</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20"/>
                <w:szCs w:val="20"/>
              </w:rPr>
              <w:t xml:space="preserve">Month 9</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20"/>
                <w:szCs w:val="20"/>
              </w:rPr>
              <w:t xml:space="preserve">Marketplace + Affiliate</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20"/>
                <w:szCs w:val="20"/>
              </w:rPr>
              <w:t xml:space="preserve">Series A</w:t>
            </w:r>
          </w:p>
        </w:tc>
        <w:tc>
          <w:tcPr>
            <w:tcW w:type="dxa" w:w="234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80"/>
            </w:tcMar>
          </w:tcPr>
          <w:p>
            <w:r>
              <w:rPr>
                <w:rFonts w:ascii="Arial" w:cs="Arial" w:eastAsia="Arial" w:hAnsi="Arial"/>
                <w:b/>
                <w:bCs/>
                <w:color w:val="0A0F1E"/>
                <w:sz w:val="20"/>
                <w:szCs w:val="20"/>
              </w:rPr>
              <w:t xml:space="preserve">$500K MRR</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20"/>
                <w:szCs w:val="20"/>
              </w:rPr>
              <w:t xml:space="preserve">Month 18</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20"/>
                <w:szCs w:val="20"/>
              </w:rPr>
              <w:t xml:space="preserve">Subscription + Data</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20"/>
                <w:szCs w:val="20"/>
              </w:rPr>
              <w:t xml:space="preserve">Target</w:t>
            </w:r>
          </w:p>
        </w:tc>
        <w:tc>
          <w:tcPr>
            <w:tcW w:type="dxa" w:w="234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80"/>
            </w:tcMar>
          </w:tcPr>
          <w:p>
            <w:r>
              <w:rPr>
                <w:rFonts w:ascii="Arial" w:cs="Arial" w:eastAsia="Arial" w:hAnsi="Arial"/>
                <w:b/>
                <w:bCs/>
                <w:color w:val="0A0F1E"/>
                <w:sz w:val="20"/>
                <w:szCs w:val="20"/>
              </w:rPr>
              <w:t xml:space="preserve">$10M MRR</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20"/>
                <w:szCs w:val="20"/>
              </w:rPr>
              <w:t xml:space="preserve">Month 36</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20"/>
                <w:szCs w:val="20"/>
              </w:rPr>
              <w:t xml:space="preserve">Full Platform + Enterprise</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20"/>
                <w:szCs w:val="20"/>
              </w:rPr>
              <w:t xml:space="preserve">Exit Scenario</w:t>
            </w:r>
          </w:p>
        </w:tc>
        <w:tc>
          <w:tcPr>
            <w:tcW w:type="dxa" w:w="234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80"/>
            </w:tcMar>
          </w:tcPr>
          <w:p>
            <w:r>
              <w:rPr>
                <w:rFonts w:ascii="Arial" w:cs="Arial" w:eastAsia="Arial" w:hAnsi="Arial"/>
                <w:b/>
                <w:bCs/>
                <w:color w:val="0A0F1E"/>
                <w:sz w:val="20"/>
                <w:szCs w:val="20"/>
              </w:rPr>
              <w:t xml:space="preserve">$500M+ ARR</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20"/>
                <w:szCs w:val="20"/>
              </w:rPr>
              <w:t xml:space="preserve">Year 5-7</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20"/>
                <w:szCs w:val="20"/>
              </w:rPr>
              <w:t xml:space="preserve">Platform + Data Moat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0A0F1E" w:val="clear"/>
            <w:tcMar>
              <w:top w:type="dxa" w:w="120"/>
              <w:left w:type="dxa" w:w="160"/>
              <w:bottom w:type="dxa" w:w="120"/>
              <w:right w:type="dxa" w:w="160"/>
            </w:tcMar>
            <w:vAlign w:val="center"/>
          </w:tcPr>
          <w:p>
            <w:pPr>
              <w:jc w:val="center"/>
            </w:pPr>
            <w:r>
              <w:rPr>
                <w:rFonts w:ascii="Arial" w:cs="Arial" w:eastAsia="Arial" w:hAnsi="Arial"/>
                <w:b/>
                <w:bCs/>
                <w:color w:val="00C2FF"/>
                <w:sz w:val="28"/>
                <w:szCs w:val="28"/>
              </w:rPr>
              <w:t xml:space="preserve">02</w:t>
            </w:r>
          </w:p>
        </w:tc>
        <w:tc>
          <w:tcPr>
            <w:tcW w:type="dxa" w:w="8560"/>
            <w:tcBorders>
              <w:top w:val="none" w:color="FFFFFF" w:sz="0"/>
              <w:left w:val="none" w:color="FFFFFF" w:sz="0"/>
              <w:bottom w:val="none" w:color="FFFFFF" w:sz="0"/>
              <w:right w:val="none" w:color="FFFFFF" w:sz="0"/>
            </w:tcBorders>
            <w:shd w:fill="F4F6FB" w:val="clear"/>
            <w:tcMar>
              <w:top w:type="dxa" w:w="120"/>
              <w:left w:type="dxa" w:w="200"/>
              <w:bottom w:type="dxa" w:w="120"/>
              <w:right w:type="dxa" w:w="160"/>
            </w:tcMar>
            <w:vAlign w:val="center"/>
          </w:tcPr>
          <w:p>
            <w:r>
              <w:rPr>
                <w:rFonts w:ascii="Arial" w:cs="Arial" w:eastAsia="Arial" w:hAnsi="Arial"/>
                <w:b/>
                <w:bCs/>
                <w:color w:val="0A0F1E"/>
                <w:spacing w:val="40"/>
                <w:sz w:val="28"/>
                <w:szCs w:val="28"/>
              </w:rPr>
              <w:t xml:space="preserve">MARKET ANALYSIS &amp; STRATEGIC CONTEXT</w:t>
            </w:r>
          </w:p>
        </w:tc>
      </w:tr>
    </w:tbl>
    <w:p>
      <w:pPr>
        <w:spacing w:after="0" w:before="120"/>
      </w:pPr>
      <w:r>
        <w:t xml:space="preserve"/>
      </w:r>
    </w:p>
    <w:p>
      <w:pPr>
        <w:pStyle w:val="Heading2"/>
        <w:spacing w:after="160" w:before="360"/>
      </w:pPr>
      <w:r>
        <w:rPr>
          <w:rFonts w:ascii="Arial" w:cs="Arial" w:eastAsia="Arial" w:hAnsi="Arial"/>
          <w:b/>
          <w:bCs/>
          <w:color w:val="0A0F1E"/>
          <w:sz w:val="30"/>
          <w:szCs w:val="30"/>
        </w:rPr>
        <w:t xml:space="preserve">Market Size &amp; Trajectory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rPr>
          <w:tblHeader/>
        </w:trPr>
        <w:tc>
          <w:tcPr>
            <w:tcW w:type="dxa" w:w="3000"/>
            <w:tcBorders>
              <w:top w:val="single" w:color="E2E8F0" w:sz="1"/>
              <w:left w:val="single" w:color="E2E8F0" w:sz="1"/>
              <w:bottom w:val="single" w:color="E2E8F0" w:sz="1"/>
              <w:right w:val="single" w:color="E2E8F0" w:sz="1"/>
            </w:tcBorders>
            <w:shd w:fill="0A0F1E" w:val="clear"/>
            <w:tcMar>
              <w:top w:type="dxa" w:w="80"/>
              <w:left w:type="dxa" w:w="120"/>
              <w:bottom w:type="dxa" w:w="80"/>
              <w:right w:type="dxa" w:w="80"/>
            </w:tcMar>
          </w:tcPr>
          <w:p>
            <w:r>
              <w:rPr>
                <w:rFonts w:ascii="Arial" w:cs="Arial" w:eastAsia="Arial" w:hAnsi="Arial"/>
                <w:b/>
                <w:bCs/>
                <w:color w:val="FFFFFF"/>
                <w:sz w:val="20"/>
                <w:szCs w:val="20"/>
              </w:rPr>
              <w:t xml:space="preserve">Segment</w:t>
            </w:r>
          </w:p>
        </w:tc>
        <w:tc>
          <w:tcPr>
            <w:tcW w:type="dxa" w:w="4000"/>
            <w:tcBorders>
              <w:top w:val="single" w:color="E2E8F0" w:sz="1"/>
              <w:left w:val="single" w:color="E2E8F0" w:sz="1"/>
              <w:bottom w:val="single" w:color="E2E8F0" w:sz="1"/>
              <w:right w:val="single" w:color="E2E8F0" w:sz="1"/>
            </w:tcBorders>
            <w:shd w:fill="0A0F1E" w:val="clear"/>
            <w:tcMar>
              <w:top w:type="dxa" w:w="80"/>
              <w:left w:type="dxa" w:w="120"/>
              <w:bottom w:type="dxa" w:w="80"/>
              <w:right w:type="dxa" w:w="80"/>
            </w:tcMar>
          </w:tcPr>
          <w:p>
            <w:r>
              <w:rPr>
                <w:rFonts w:ascii="Arial" w:cs="Arial" w:eastAsia="Arial" w:hAnsi="Arial"/>
                <w:b/>
                <w:bCs/>
                <w:color w:val="FFFFFF"/>
                <w:sz w:val="20"/>
                <w:szCs w:val="20"/>
              </w:rPr>
              <w:t xml:space="preserve">2026 Est.</w:t>
            </w:r>
          </w:p>
        </w:tc>
        <w:tc>
          <w:tcPr>
            <w:tcW w:type="dxa" w:w="2360"/>
            <w:tcBorders>
              <w:top w:val="single" w:color="E2E8F0" w:sz="1"/>
              <w:left w:val="single" w:color="E2E8F0" w:sz="1"/>
              <w:bottom w:val="single" w:color="E2E8F0" w:sz="1"/>
              <w:right w:val="single" w:color="E2E8F0" w:sz="1"/>
            </w:tcBorders>
            <w:shd w:fill="0A0F1E" w:val="clear"/>
            <w:tcMar>
              <w:top w:type="dxa" w:w="80"/>
              <w:left w:type="dxa" w:w="120"/>
              <w:bottom w:type="dxa" w:w="80"/>
              <w:right w:type="dxa" w:w="80"/>
            </w:tcMar>
          </w:tcPr>
          <w:p>
            <w:r>
              <w:rPr>
                <w:rFonts w:ascii="Arial" w:cs="Arial" w:eastAsia="Arial" w:hAnsi="Arial"/>
                <w:b/>
                <w:bCs/>
                <w:color w:val="FFFFFF"/>
                <w:sz w:val="20"/>
                <w:szCs w:val="20"/>
              </w:rPr>
              <w:t xml:space="preserve">2030 Proj.</w:t>
            </w:r>
          </w:p>
        </w:tc>
      </w:tr>
      <w:tr>
        <w:tc>
          <w:tcPr>
            <w:tcW w:type="dxa" w:w="3000"/>
            <w:tcBorders>
              <w:top w:val="single" w:color="E2E8F0" w:sz="1"/>
              <w:left w:val="single" w:color="E2E8F0" w:sz="1"/>
              <w:bottom w:val="single" w:color="E2E8F0" w:sz="1"/>
              <w:right w:val="single" w:color="E2E8F0" w:sz="1"/>
            </w:tcBorders>
            <w:shd w:fill="F4F6FB" w:val="clear"/>
            <w:tcMar>
              <w:top w:type="dxa" w:w="80"/>
              <w:left w:type="dxa" w:w="120"/>
              <w:bottom w:type="dxa" w:w="80"/>
              <w:right w:type="dxa" w:w="80"/>
            </w:tcMar>
          </w:tcPr>
          <w:p>
            <w:r>
              <w:rPr>
                <w:rFonts w:ascii="Arial" w:cs="Arial" w:eastAsia="Arial" w:hAnsi="Arial"/>
                <w:b w:val="false"/>
                <w:bCs w:val="false"/>
                <w:color w:val="1A202C"/>
                <w:sz w:val="20"/>
                <w:szCs w:val="20"/>
              </w:rPr>
              <w:t xml:space="preserve">Consumer Home Robots</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20"/>
                <w:szCs w:val="20"/>
              </w:rPr>
              <w:t xml:space="preserve">$8.2B</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20"/>
                <w:szCs w:val="20"/>
              </w:rPr>
              <w:t xml:space="preserve">$38B</w:t>
            </w:r>
          </w:p>
        </w:tc>
      </w:tr>
      <w:tr>
        <w:tc>
          <w:tcPr>
            <w:tcW w:type="dxa" w:w="3000"/>
            <w:tcBorders>
              <w:top w:val="single" w:color="E2E8F0" w:sz="1"/>
              <w:left w:val="single" w:color="E2E8F0" w:sz="1"/>
              <w:bottom w:val="single" w:color="E2E8F0" w:sz="1"/>
              <w:right w:val="single" w:color="E2E8F0" w:sz="1"/>
            </w:tcBorders>
            <w:shd w:fill="F4F6FB" w:val="clear"/>
            <w:tcMar>
              <w:top w:type="dxa" w:w="80"/>
              <w:left w:type="dxa" w:w="120"/>
              <w:bottom w:type="dxa" w:w="80"/>
              <w:right w:type="dxa" w:w="80"/>
            </w:tcMar>
          </w:tcPr>
          <w:p>
            <w:r>
              <w:rPr>
                <w:rFonts w:ascii="Arial" w:cs="Arial" w:eastAsia="Arial" w:hAnsi="Arial"/>
                <w:b w:val="false"/>
                <w:bCs w:val="false"/>
                <w:color w:val="1A202C"/>
                <w:sz w:val="20"/>
                <w:szCs w:val="20"/>
              </w:rPr>
              <w:t xml:space="preserve">Humanoid Robots</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20"/>
                <w:szCs w:val="20"/>
              </w:rPr>
              <w:t xml:space="preserve">$1.4B</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20"/>
                <w:szCs w:val="20"/>
              </w:rPr>
              <w:t xml:space="preserve">$65B</w:t>
            </w:r>
          </w:p>
        </w:tc>
      </w:tr>
      <w:tr>
        <w:tc>
          <w:tcPr>
            <w:tcW w:type="dxa" w:w="3000"/>
            <w:tcBorders>
              <w:top w:val="single" w:color="E2E8F0" w:sz="1"/>
              <w:left w:val="single" w:color="E2E8F0" w:sz="1"/>
              <w:bottom w:val="single" w:color="E2E8F0" w:sz="1"/>
              <w:right w:val="single" w:color="E2E8F0" w:sz="1"/>
            </w:tcBorders>
            <w:shd w:fill="F4F6FB" w:val="clear"/>
            <w:tcMar>
              <w:top w:type="dxa" w:w="80"/>
              <w:left w:type="dxa" w:w="120"/>
              <w:bottom w:type="dxa" w:w="80"/>
              <w:right w:type="dxa" w:w="80"/>
            </w:tcMar>
          </w:tcPr>
          <w:p>
            <w:r>
              <w:rPr>
                <w:rFonts w:ascii="Arial" w:cs="Arial" w:eastAsia="Arial" w:hAnsi="Arial"/>
                <w:b w:val="false"/>
                <w:bCs w:val="false"/>
                <w:color w:val="1A202C"/>
                <w:sz w:val="20"/>
                <w:szCs w:val="20"/>
              </w:rPr>
              <w:t xml:space="preserve">Educational Robotics</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20"/>
                <w:szCs w:val="20"/>
              </w:rPr>
              <w:t xml:space="preserve">$3.1B</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20"/>
                <w:szCs w:val="20"/>
              </w:rPr>
              <w:t xml:space="preserve">$12B</w:t>
            </w:r>
          </w:p>
        </w:tc>
      </w:tr>
      <w:tr>
        <w:tc>
          <w:tcPr>
            <w:tcW w:type="dxa" w:w="3000"/>
            <w:tcBorders>
              <w:top w:val="single" w:color="E2E8F0" w:sz="1"/>
              <w:left w:val="single" w:color="E2E8F0" w:sz="1"/>
              <w:bottom w:val="single" w:color="E2E8F0" w:sz="1"/>
              <w:right w:val="single" w:color="E2E8F0" w:sz="1"/>
            </w:tcBorders>
            <w:shd w:fill="F4F6FB" w:val="clear"/>
            <w:tcMar>
              <w:top w:type="dxa" w:w="80"/>
              <w:left w:type="dxa" w:w="120"/>
              <w:bottom w:type="dxa" w:w="80"/>
              <w:right w:type="dxa" w:w="80"/>
            </w:tcMar>
          </w:tcPr>
          <w:p>
            <w:r>
              <w:rPr>
                <w:rFonts w:ascii="Arial" w:cs="Arial" w:eastAsia="Arial" w:hAnsi="Arial"/>
                <w:b w:val="false"/>
                <w:bCs w:val="false"/>
                <w:color w:val="1A202C"/>
                <w:sz w:val="20"/>
                <w:szCs w:val="20"/>
              </w:rPr>
              <w:t xml:space="preserve">Service/Commercial Robots</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20"/>
                <w:szCs w:val="20"/>
              </w:rPr>
              <w:t xml:space="preserve">$18B</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20"/>
                <w:szCs w:val="20"/>
              </w:rPr>
              <w:t xml:space="preserve">$92B</w:t>
            </w:r>
          </w:p>
        </w:tc>
      </w:tr>
      <w:tr>
        <w:tc>
          <w:tcPr>
            <w:tcW w:type="dxa" w:w="3000"/>
            <w:tcBorders>
              <w:top w:val="single" w:color="E2E8F0" w:sz="1"/>
              <w:left w:val="single" w:color="E2E8F0" w:sz="1"/>
              <w:bottom w:val="single" w:color="E2E8F0" w:sz="1"/>
              <w:right w:val="single" w:color="E2E8F0" w:sz="1"/>
            </w:tcBorders>
            <w:shd w:fill="F4F6FB" w:val="clear"/>
            <w:tcMar>
              <w:top w:type="dxa" w:w="80"/>
              <w:left w:type="dxa" w:w="120"/>
              <w:bottom w:type="dxa" w:w="80"/>
              <w:right w:type="dxa" w:w="80"/>
            </w:tcMar>
          </w:tcPr>
          <w:p>
            <w:r>
              <w:rPr>
                <w:rFonts w:ascii="Arial" w:cs="Arial" w:eastAsia="Arial" w:hAnsi="Arial"/>
                <w:b w:val="false"/>
                <w:bCs w:val="false"/>
                <w:color w:val="1A202C"/>
                <w:sz w:val="20"/>
                <w:szCs w:val="20"/>
              </w:rPr>
              <w:t xml:space="preserve">Hobby/DIY Robotics</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20"/>
                <w:szCs w:val="20"/>
              </w:rPr>
              <w:t xml:space="preserve">$2.8B</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20"/>
                <w:szCs w:val="20"/>
              </w:rPr>
              <w:t xml:space="preserve">$11B</w:t>
            </w:r>
          </w:p>
        </w:tc>
      </w:tr>
      <w:tr>
        <w:tc>
          <w:tcPr>
            <w:tcW w:type="dxa" w:w="3000"/>
            <w:tcBorders>
              <w:top w:val="single" w:color="E2E8F0" w:sz="1"/>
              <w:left w:val="single" w:color="E2E8F0" w:sz="1"/>
              <w:bottom w:val="single" w:color="E2E8F0" w:sz="1"/>
              <w:right w:val="single" w:color="E2E8F0" w:sz="1"/>
            </w:tcBorders>
            <w:shd w:fill="F4F6FB" w:val="clear"/>
            <w:tcMar>
              <w:top w:type="dxa" w:w="80"/>
              <w:left w:type="dxa" w:w="120"/>
              <w:bottom w:type="dxa" w:w="80"/>
              <w:right w:type="dxa" w:w="80"/>
            </w:tcMar>
          </w:tcPr>
          <w:p>
            <w:r>
              <w:rPr>
                <w:rFonts w:ascii="Arial" w:cs="Arial" w:eastAsia="Arial" w:hAnsi="Arial"/>
                <w:b w:val="false"/>
                <w:bCs w:val="false"/>
                <w:color w:val="1A202C"/>
                <w:sz w:val="20"/>
                <w:szCs w:val="20"/>
              </w:rPr>
              <w:t xml:space="preserve">Agricultural Robots</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20"/>
                <w:szCs w:val="20"/>
              </w:rPr>
              <w:t xml:space="preserve">$9.6B</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20"/>
                <w:szCs w:val="20"/>
              </w:rPr>
              <w:t xml:space="preserve">$66B</w:t>
            </w:r>
          </w:p>
        </w:tc>
      </w:tr>
      <w:tr>
        <w:tc>
          <w:tcPr>
            <w:tcW w:type="dxa" w:w="3000"/>
            <w:tcBorders>
              <w:top w:val="single" w:color="E2E8F0" w:sz="1"/>
              <w:left w:val="single" w:color="E2E8F0" w:sz="1"/>
              <w:bottom w:val="single" w:color="E2E8F0" w:sz="1"/>
              <w:right w:val="single" w:color="E2E8F0" w:sz="1"/>
            </w:tcBorders>
            <w:shd w:fill="0A0F1E" w:val="clear"/>
            <w:tcMar>
              <w:top w:type="dxa" w:w="80"/>
              <w:left w:type="dxa" w:w="120"/>
              <w:bottom w:type="dxa" w:w="80"/>
              <w:right w:type="dxa" w:w="80"/>
            </w:tcMar>
          </w:tcPr>
          <w:p>
            <w:r>
              <w:rPr>
                <w:rFonts w:ascii="Arial" w:cs="Arial" w:eastAsia="Arial" w:hAnsi="Arial"/>
                <w:b/>
                <w:bCs/>
                <w:color w:val="00C2FF"/>
                <w:sz w:val="20"/>
                <w:szCs w:val="20"/>
              </w:rPr>
              <w:t xml:space="preserve">TOTAL ADDRESSABLE MARKET</w:t>
            </w:r>
          </w:p>
        </w:tc>
        <w:tc>
          <w:tcPr>
            <w:tcW w:type="dxa" w:w="4000"/>
            <w:tcBorders>
              <w:top w:val="single" w:color="E2E8F0" w:sz="1"/>
              <w:left w:val="single" w:color="E2E8F0" w:sz="1"/>
              <w:bottom w:val="single" w:color="E2E8F0" w:sz="1"/>
              <w:right w:val="single" w:color="E2E8F0" w:sz="1"/>
            </w:tcBorders>
            <w:shd w:fill="0A0F1E" w:val="clear"/>
            <w:tcMar>
              <w:top w:type="dxa" w:w="80"/>
              <w:left w:type="dxa" w:w="120"/>
              <w:bottom w:type="dxa" w:w="80"/>
              <w:right w:type="dxa" w:w="80"/>
            </w:tcMar>
          </w:tcPr>
          <w:p>
            <w:r>
              <w:rPr>
                <w:rFonts w:ascii="Arial" w:cs="Arial" w:eastAsia="Arial" w:hAnsi="Arial"/>
                <w:b/>
                <w:bCs/>
                <w:color w:val="00C2FF"/>
                <w:sz w:val="20"/>
                <w:szCs w:val="20"/>
              </w:rPr>
              <w:t xml:space="preserve">$43.1B</w:t>
            </w:r>
          </w:p>
        </w:tc>
        <w:tc>
          <w:tcPr>
            <w:tcW w:type="dxa" w:w="2360"/>
            <w:tcBorders>
              <w:top w:val="single" w:color="E2E8F0" w:sz="1"/>
              <w:left w:val="single" w:color="E2E8F0" w:sz="1"/>
              <w:bottom w:val="single" w:color="E2E8F0" w:sz="1"/>
              <w:right w:val="single" w:color="E2E8F0" w:sz="1"/>
            </w:tcBorders>
            <w:shd w:fill="0A0F1E" w:val="clear"/>
            <w:tcMar>
              <w:top w:type="dxa" w:w="80"/>
              <w:left w:type="dxa" w:w="120"/>
              <w:bottom w:type="dxa" w:w="80"/>
              <w:right w:type="dxa" w:w="80"/>
            </w:tcMar>
          </w:tcPr>
          <w:p>
            <w:r>
              <w:rPr>
                <w:rFonts w:ascii="Arial" w:cs="Arial" w:eastAsia="Arial" w:hAnsi="Arial"/>
                <w:b/>
                <w:bCs/>
                <w:color w:val="00C2FF"/>
                <w:sz w:val="20"/>
                <w:szCs w:val="20"/>
              </w:rPr>
              <w:t xml:space="preserve">$284B</w:t>
            </w:r>
          </w:p>
        </w:tc>
      </w:tr>
    </w:tbl>
    <w:p>
      <w:pPr>
        <w:spacing w:after="0" w:before="120"/>
      </w:pPr>
      <w:r>
        <w:t xml:space="preserve"/>
      </w:r>
    </w:p>
    <w:p>
      <w:pPr>
        <w:pStyle w:val="Heading2"/>
        <w:spacing w:after="160" w:before="360"/>
      </w:pPr>
      <w:r>
        <w:rPr>
          <w:rFonts w:ascii="Arial" w:cs="Arial" w:eastAsia="Arial" w:hAnsi="Arial"/>
          <w:b/>
          <w:bCs/>
          <w:color w:val="0A0F1E"/>
          <w:sz w:val="30"/>
          <w:szCs w:val="30"/>
        </w:rPr>
        <w:t xml:space="preserve">Competitive Landscape</w:t>
      </w:r>
    </w:p>
    <w:p>
      <w:pPr>
        <w:spacing w:after="80" w:before="80"/>
      </w:pPr>
      <w:r>
        <w:rPr>
          <w:rFonts w:ascii="Arial" w:cs="Arial" w:eastAsia="Arial" w:hAnsi="Arial"/>
          <w:color w:val="1A202C"/>
          <w:sz w:val="22"/>
          <w:szCs w:val="22"/>
        </w:rPr>
        <w:t xml:space="preserve">No direct competitor exists. The current landscape is fragmented across:</w:t>
      </w:r>
    </w:p>
    <w:p>
      <w:pPr>
        <w:pStyle w:val="ListParagraph"/>
        <w:numPr>
          <w:ilvl w:val="0"/>
          <w:numId w:val="2"/>
        </w:numPr>
        <w:spacing w:after="60" w:before="60"/>
      </w:pPr>
      <w:r>
        <w:rPr>
          <w:rFonts w:ascii="Arial" w:cs="Arial" w:eastAsia="Arial" w:hAnsi="Arial"/>
          <w:color w:val="1A202C"/>
          <w:sz w:val="22"/>
          <w:szCs w:val="22"/>
        </w:rPr>
        <w:t xml:space="preserve">YouTube/Reddit — unstructured, no commerce, no AI guidance, no structured reviews</w:t>
      </w:r>
    </w:p>
    <w:p>
      <w:pPr>
        <w:pStyle w:val="ListParagraph"/>
        <w:numPr>
          <w:ilvl w:val="0"/>
          <w:numId w:val="2"/>
        </w:numPr>
        <w:spacing w:after="60" w:before="60"/>
      </w:pPr>
      <w:r>
        <w:rPr>
          <w:rFonts w:ascii="Arial" w:cs="Arial" w:eastAsia="Arial" w:hAnsi="Arial"/>
          <w:color w:val="1A202C"/>
          <w:sz w:val="22"/>
          <w:szCs w:val="22"/>
        </w:rPr>
        <w:t xml:space="preserve">Amazon/Best Buy — generic e-commerce with zero robotics-specific intelligence</w:t>
      </w:r>
    </w:p>
    <w:p>
      <w:pPr>
        <w:pStyle w:val="ListParagraph"/>
        <w:numPr>
          <w:ilvl w:val="0"/>
          <w:numId w:val="2"/>
        </w:numPr>
        <w:spacing w:after="60" w:before="60"/>
      </w:pPr>
      <w:r>
        <w:rPr>
          <w:rFonts w:ascii="Arial" w:cs="Arial" w:eastAsia="Arial" w:hAnsi="Arial"/>
          <w:color w:val="1A202C"/>
          <w:sz w:val="22"/>
          <w:szCs w:val="22"/>
        </w:rPr>
        <w:t xml:space="preserve">Manufacturer websites — siloed, marketing-driven, no independent perspective</w:t>
      </w:r>
    </w:p>
    <w:p>
      <w:pPr>
        <w:pStyle w:val="ListParagraph"/>
        <w:numPr>
          <w:ilvl w:val="0"/>
          <w:numId w:val="2"/>
        </w:numPr>
        <w:spacing w:after="60" w:before="60"/>
      </w:pPr>
      <w:r>
        <w:rPr>
          <w:rFonts w:ascii="Arial" w:cs="Arial" w:eastAsia="Arial" w:hAnsi="Arial"/>
          <w:color w:val="1A202C"/>
          <w:sz w:val="22"/>
          <w:szCs w:val="22"/>
        </w:rPr>
        <w:t xml:space="preserve">Hobbyist forums (RoboticsTomorrow, IEEE Spectrum) — technical, not consumer-oriented</w:t>
      </w:r>
    </w:p>
    <w:p>
      <w:pPr>
        <w:pStyle w:val="ListParagraph"/>
        <w:numPr>
          <w:ilvl w:val="0"/>
          <w:numId w:val="2"/>
        </w:numPr>
        <w:spacing w:after="60" w:before="60"/>
      </w:pPr>
      <w:r>
        <w:rPr>
          <w:rFonts w:ascii="Arial" w:cs="Arial" w:eastAsia="Arial" w:hAnsi="Arial"/>
          <w:color w:val="1A202C"/>
          <w:sz w:val="22"/>
          <w:szCs w:val="22"/>
        </w:rPr>
        <w:t xml:space="preserve">Consultancies (McKinsey, Gartner) — enterprise-only, $50K+ engagements, not accessible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B2FFF" w:sz="12"/>
              <w:bottom w:val="none" w:color="FFFFFF" w:sz="0"/>
              <w:right w:val="none" w:color="FFFFFF" w:sz="0"/>
            </w:tcBorders>
            <w:shd w:fill="EFF6FF" w:val="clear"/>
            <w:tcMar>
              <w:top w:type="dxa" w:w="120"/>
              <w:left w:type="dxa" w:w="240"/>
              <w:bottom w:type="dxa" w:w="120"/>
              <w:right w:type="dxa" w:w="240"/>
            </w:tcMar>
          </w:tcPr>
          <w:p>
            <w:r>
              <w:rPr>
                <w:rFonts w:ascii="Arial" w:cs="Arial" w:eastAsia="Arial" w:hAnsi="Arial"/>
                <w:i/>
                <w:iCs/>
                <w:color w:val="1A202C"/>
                <w:sz w:val="22"/>
                <w:szCs w:val="22"/>
              </w:rPr>
              <w:t xml:space="preserve">RoboNexus is the category creator. We do not compete — we define the category and then defend it through data network effects, content moats, and platform lock-in. The first mover who builds a trusted review corpus and transactional marketplace wins the category for a decade.</w:t>
            </w:r>
          </w:p>
        </w:tc>
      </w:tr>
    </w:tbl>
    <w:p>
      <w:pPr>
        <w:spacing w:after="0" w:before="120"/>
      </w:pPr>
      <w:r>
        <w:t xml:space="preserve"/>
      </w:r>
    </w:p>
    <w:p>
      <w:pPr>
        <w:pStyle w:val="Heading2"/>
        <w:spacing w:after="160" w:before="360"/>
      </w:pPr>
      <w:r>
        <w:rPr>
          <w:rFonts w:ascii="Arial" w:cs="Arial" w:eastAsia="Arial" w:hAnsi="Arial"/>
          <w:b/>
          <w:bCs/>
          <w:color w:val="0A0F1E"/>
          <w:sz w:val="30"/>
          <w:szCs w:val="30"/>
        </w:rPr>
        <w:t xml:space="preserve">Strategic Tailwinds</w:t>
      </w:r>
    </w:p>
    <w:p>
      <w:pPr>
        <w:pStyle w:val="ListParagraph"/>
        <w:numPr>
          <w:ilvl w:val="0"/>
          <w:numId w:val="2"/>
        </w:numPr>
        <w:spacing w:after="60" w:before="60"/>
      </w:pPr>
      <w:r>
        <w:rPr>
          <w:rFonts w:ascii="Arial" w:cs="Arial" w:eastAsia="Arial" w:hAnsi="Arial"/>
          <w:color w:val="1A202C"/>
          <w:sz w:val="22"/>
          <w:szCs w:val="22"/>
        </w:rPr>
        <w:t xml:space="preserve">Tesla Optimus, Figure AI, 1X, Agility Robotics scaling production in 2026-2027</w:t>
      </w:r>
    </w:p>
    <w:p>
      <w:pPr>
        <w:pStyle w:val="ListParagraph"/>
        <w:numPr>
          <w:ilvl w:val="0"/>
          <w:numId w:val="2"/>
        </w:numPr>
        <w:spacing w:after="60" w:before="60"/>
      </w:pPr>
      <w:r>
        <w:rPr>
          <w:rFonts w:ascii="Arial" w:cs="Arial" w:eastAsia="Arial" w:hAnsi="Arial"/>
          <w:color w:val="1A202C"/>
          <w:sz w:val="22"/>
          <w:szCs w:val="22"/>
        </w:rPr>
        <w:t xml:space="preserve">iRobot, Ecovacs, Roborock all expanding from vacuums to multi-function home platforms</w:t>
      </w:r>
    </w:p>
    <w:p>
      <w:pPr>
        <w:pStyle w:val="ListParagraph"/>
        <w:numPr>
          <w:ilvl w:val="0"/>
          <w:numId w:val="2"/>
        </w:numPr>
        <w:spacing w:after="60" w:before="60"/>
      </w:pPr>
      <w:r>
        <w:rPr>
          <w:rFonts w:ascii="Arial" w:cs="Arial" w:eastAsia="Arial" w:hAnsi="Arial"/>
          <w:color w:val="1A202C"/>
          <w:sz w:val="22"/>
          <w:szCs w:val="22"/>
        </w:rPr>
        <w:t xml:space="preserve">NVIDIA Cosmos, Google DeepMind, and Boston Dynamics establishing new capability benchmarks quarterly</w:t>
      </w:r>
    </w:p>
    <w:p>
      <w:pPr>
        <w:pStyle w:val="ListParagraph"/>
        <w:numPr>
          <w:ilvl w:val="0"/>
          <w:numId w:val="2"/>
        </w:numPr>
        <w:spacing w:after="60" w:before="60"/>
      </w:pPr>
      <w:r>
        <w:rPr>
          <w:rFonts w:ascii="Arial" w:cs="Arial" w:eastAsia="Arial" w:hAnsi="Arial"/>
          <w:color w:val="1A202C"/>
          <w:sz w:val="22"/>
          <w:szCs w:val="22"/>
        </w:rPr>
        <w:t xml:space="preserve">Massive mainstream media coverage driving consumer curiosity without guidance infrastructure</w:t>
      </w:r>
    </w:p>
    <w:p>
      <w:pPr>
        <w:pStyle w:val="ListParagraph"/>
        <w:numPr>
          <w:ilvl w:val="0"/>
          <w:numId w:val="2"/>
        </w:numPr>
        <w:spacing w:after="60" w:before="60"/>
      </w:pPr>
      <w:r>
        <w:rPr>
          <w:rFonts w:ascii="Arial" w:cs="Arial" w:eastAsia="Arial" w:hAnsi="Arial"/>
          <w:color w:val="1A202C"/>
          <w:sz w:val="22"/>
          <w:szCs w:val="22"/>
        </w:rPr>
        <w:t xml:space="preserve">$50B+ in VC deployed into robotics since 2022 — products are shipping</w:t>
      </w:r>
    </w:p>
    <w:p>
      <w:pPr>
        <w:pStyle w:val="ListParagraph"/>
        <w:numPr>
          <w:ilvl w:val="0"/>
          <w:numId w:val="2"/>
        </w:numPr>
        <w:spacing w:after="60" w:before="60"/>
      </w:pPr>
      <w:r>
        <w:rPr>
          <w:rFonts w:ascii="Arial" w:cs="Arial" w:eastAsia="Arial" w:hAnsi="Arial"/>
          <w:color w:val="1A202C"/>
          <w:sz w:val="22"/>
          <w:szCs w:val="22"/>
        </w:rPr>
        <w:t xml:space="preserve">Construction, healthcare, retail, and logistics industries actively evaluating robot procurement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0A0F1E" w:val="clear"/>
            <w:tcMar>
              <w:top w:type="dxa" w:w="120"/>
              <w:left w:type="dxa" w:w="160"/>
              <w:bottom w:type="dxa" w:w="120"/>
              <w:right w:type="dxa" w:w="160"/>
            </w:tcMar>
            <w:vAlign w:val="center"/>
          </w:tcPr>
          <w:p>
            <w:pPr>
              <w:jc w:val="center"/>
            </w:pPr>
            <w:r>
              <w:rPr>
                <w:rFonts w:ascii="Arial" w:cs="Arial" w:eastAsia="Arial" w:hAnsi="Arial"/>
                <w:b/>
                <w:bCs/>
                <w:color w:val="00C2FF"/>
                <w:sz w:val="28"/>
                <w:szCs w:val="28"/>
              </w:rPr>
              <w:t xml:space="preserve">03</w:t>
            </w:r>
          </w:p>
        </w:tc>
        <w:tc>
          <w:tcPr>
            <w:tcW w:type="dxa" w:w="8560"/>
            <w:tcBorders>
              <w:top w:val="none" w:color="FFFFFF" w:sz="0"/>
              <w:left w:val="none" w:color="FFFFFF" w:sz="0"/>
              <w:bottom w:val="none" w:color="FFFFFF" w:sz="0"/>
              <w:right w:val="none" w:color="FFFFFF" w:sz="0"/>
            </w:tcBorders>
            <w:shd w:fill="F4F6FB" w:val="clear"/>
            <w:tcMar>
              <w:top w:type="dxa" w:w="120"/>
              <w:left w:type="dxa" w:w="200"/>
              <w:bottom w:type="dxa" w:w="120"/>
              <w:right w:type="dxa" w:w="160"/>
            </w:tcMar>
            <w:vAlign w:val="center"/>
          </w:tcPr>
          <w:p>
            <w:r>
              <w:rPr>
                <w:rFonts w:ascii="Arial" w:cs="Arial" w:eastAsia="Arial" w:hAnsi="Arial"/>
                <w:b/>
                <w:bCs/>
                <w:color w:val="0A0F1E"/>
                <w:spacing w:val="40"/>
                <w:sz w:val="28"/>
                <w:szCs w:val="28"/>
              </w:rPr>
              <w:t xml:space="preserve">PRODUCT VISION &amp; CORE MODULES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C2FF" w:sz="12"/>
              <w:bottom w:val="none" w:color="FFFFFF" w:sz="0"/>
              <w:right w:val="none" w:color="FFFFFF" w:sz="0"/>
            </w:tcBorders>
            <w:shd w:fill="EFF6FF" w:val="clear"/>
            <w:tcMar>
              <w:top w:type="dxa" w:w="120"/>
              <w:left w:type="dxa" w:w="240"/>
              <w:bottom w:type="dxa" w:w="120"/>
              <w:right w:type="dxa" w:w="240"/>
            </w:tcMar>
          </w:tcPr>
          <w:p>
            <w:r>
              <w:rPr>
                <w:rFonts w:ascii="Arial" w:cs="Arial" w:eastAsia="Arial" w:hAnsi="Arial"/>
                <w:i/>
                <w:iCs/>
                <w:color w:val="1A202C"/>
                <w:sz w:val="22"/>
                <w:szCs w:val="22"/>
              </w:rPr>
              <w:t xml:space="preserve">RoboNexus Vision: "Every person, business, and institution that wants to understand, evaluate, purchase, operate, and benefit from robotics comes to RoboNexus first — and comes back every time."</w:t>
            </w:r>
          </w:p>
        </w:tc>
      </w:tr>
    </w:tbl>
    <w:p>
      <w:pPr>
        <w:spacing w:after="0" w:before="120"/>
      </w:pPr>
      <w:r>
        <w:t xml:space="preserve"/>
      </w:r>
    </w:p>
    <w:p>
      <w:pPr>
        <w:pStyle w:val="Heading2"/>
        <w:spacing w:after="160" w:before="360"/>
      </w:pPr>
      <w:r>
        <w:rPr>
          <w:rFonts w:ascii="Arial" w:cs="Arial" w:eastAsia="Arial" w:hAnsi="Arial"/>
          <w:b/>
          <w:bCs/>
          <w:color w:val="0A0F1E"/>
          <w:sz w:val="30"/>
          <w:szCs w:val="30"/>
        </w:rPr>
        <w:t xml:space="preserve">Module 1 — RoboIntel: AI Purchase Advisory Engine</w:t>
      </w:r>
    </w:p>
    <w:p>
      <w:pPr>
        <w:spacing w:after="80" w:before="80"/>
      </w:pPr>
      <w:r>
        <w:rPr>
          <w:rFonts w:ascii="Arial" w:cs="Arial" w:eastAsia="Arial" w:hAnsi="Arial"/>
          <w:color w:val="1A202C"/>
          <w:sz w:val="22"/>
          <w:szCs w:val="22"/>
        </w:rPr>
        <w:t xml:space="preserve">The centerpiece of the platform. An AI system trained on structured robot data, user preference modeling, use-case matching, and real-time inventory that guides any user — from a curious 12-year-old to a VP of Operations at a Fortune 500 — to the right robotic solution for their need.</w:t>
      </w:r>
    </w:p>
    <w:p>
      <w:pPr>
        <w:spacing w:after="0" w:before="120"/>
      </w:pPr>
      <w:r>
        <w:t xml:space="preserve"/>
      </w:r>
    </w:p>
    <w:p>
      <w:pPr>
        <w:pStyle w:val="Heading3"/>
        <w:spacing w:after="120" w:before="280"/>
      </w:pPr>
      <w:r>
        <w:rPr>
          <w:rFonts w:ascii="Arial" w:cs="Arial" w:eastAsia="Arial" w:hAnsi="Arial"/>
          <w:b/>
          <w:bCs/>
          <w:color w:val="7B2FFF"/>
          <w:sz w:val="26"/>
          <w:szCs w:val="26"/>
        </w:rPr>
        <w:t xml:space="preserve">Core AI Advisor Features</w:t>
      </w:r>
    </w:p>
    <w:p>
      <w:pPr>
        <w:pStyle w:val="ListParagraph"/>
        <w:numPr>
          <w:ilvl w:val="0"/>
          <w:numId w:val="2"/>
        </w:numPr>
        <w:spacing w:after="60" w:before="60"/>
      </w:pPr>
      <w:r>
        <w:rPr>
          <w:rFonts w:ascii="Arial" w:cs="Arial" w:eastAsia="Arial" w:hAnsi="Arial"/>
          <w:color w:val="1A202C"/>
          <w:sz w:val="22"/>
          <w:szCs w:val="22"/>
        </w:rPr>
        <w:t xml:space="preserve">Conversational onboarding — "Tell me what you want robots to help you with"</w:t>
      </w:r>
    </w:p>
    <w:p>
      <w:pPr>
        <w:pStyle w:val="ListParagraph"/>
        <w:numPr>
          <w:ilvl w:val="0"/>
          <w:numId w:val="2"/>
        </w:numPr>
        <w:spacing w:after="60" w:before="60"/>
      </w:pPr>
      <w:r>
        <w:rPr>
          <w:rFonts w:ascii="Arial" w:cs="Arial" w:eastAsia="Arial" w:hAnsi="Arial"/>
          <w:color w:val="1A202C"/>
          <w:sz w:val="22"/>
          <w:szCs w:val="22"/>
        </w:rPr>
        <w:t xml:space="preserve">Use-case taxonomy — 200+ mapped use cases from household chores to surgical assistance</w:t>
      </w:r>
    </w:p>
    <w:p>
      <w:pPr>
        <w:pStyle w:val="ListParagraph"/>
        <w:numPr>
          <w:ilvl w:val="0"/>
          <w:numId w:val="2"/>
        </w:numPr>
        <w:spacing w:after="60" w:before="60"/>
      </w:pPr>
      <w:r>
        <w:rPr>
          <w:rFonts w:ascii="Arial" w:cs="Arial" w:eastAsia="Arial" w:hAnsi="Arial"/>
          <w:color w:val="1A202C"/>
          <w:sz w:val="22"/>
          <w:szCs w:val="22"/>
        </w:rPr>
        <w:t xml:space="preserve">Constraint matching — budget, space, technical skill, connectivity, operating environment</w:t>
      </w:r>
    </w:p>
    <w:p>
      <w:pPr>
        <w:pStyle w:val="ListParagraph"/>
        <w:numPr>
          <w:ilvl w:val="0"/>
          <w:numId w:val="2"/>
        </w:numPr>
        <w:spacing w:after="60" w:before="60"/>
      </w:pPr>
      <w:r>
        <w:rPr>
          <w:rFonts w:ascii="Arial" w:cs="Arial" w:eastAsia="Arial" w:hAnsi="Arial"/>
          <w:color w:val="1A202C"/>
          <w:sz w:val="22"/>
          <w:szCs w:val="22"/>
        </w:rPr>
        <w:t xml:space="preserve">Multi-robot household/enterprise orchestration planning</w:t>
      </w:r>
    </w:p>
    <w:p>
      <w:pPr>
        <w:pStyle w:val="ListParagraph"/>
        <w:numPr>
          <w:ilvl w:val="0"/>
          <w:numId w:val="2"/>
        </w:numPr>
        <w:spacing w:after="60" w:before="60"/>
      </w:pPr>
      <w:r>
        <w:rPr>
          <w:rFonts w:ascii="Arial" w:cs="Arial" w:eastAsia="Arial" w:hAnsi="Arial"/>
          <w:color w:val="1A202C"/>
          <w:sz w:val="22"/>
          <w:szCs w:val="22"/>
        </w:rPr>
        <w:t xml:space="preserve">ROI calculator for commercial and enterprise use cases</w:t>
      </w:r>
    </w:p>
    <w:p>
      <w:pPr>
        <w:pStyle w:val="ListParagraph"/>
        <w:numPr>
          <w:ilvl w:val="0"/>
          <w:numId w:val="2"/>
        </w:numPr>
        <w:spacing w:after="60" w:before="60"/>
      </w:pPr>
      <w:r>
        <w:rPr>
          <w:rFonts w:ascii="Arial" w:cs="Arial" w:eastAsia="Arial" w:hAnsi="Arial"/>
          <w:color w:val="1A202C"/>
          <w:sz w:val="22"/>
          <w:szCs w:val="22"/>
        </w:rPr>
        <w:t xml:space="preserve">Comparison engine — side-by-side specs, user sentiment, expert score</w:t>
      </w:r>
    </w:p>
    <w:p>
      <w:pPr>
        <w:pStyle w:val="ListParagraph"/>
        <w:numPr>
          <w:ilvl w:val="0"/>
          <w:numId w:val="2"/>
        </w:numPr>
        <w:spacing w:after="60" w:before="60"/>
      </w:pPr>
      <w:r>
        <w:rPr>
          <w:rFonts w:ascii="Arial" w:cs="Arial" w:eastAsia="Arial" w:hAnsi="Arial"/>
          <w:color w:val="1A202C"/>
          <w:sz w:val="22"/>
          <w:szCs w:val="22"/>
        </w:rPr>
        <w:t xml:space="preserve">"Is This Right For Me" score — personalized fit rating 0-100 per robot per user</w:t>
      </w:r>
    </w:p>
    <w:p>
      <w:pPr>
        <w:pStyle w:val="ListParagraph"/>
        <w:numPr>
          <w:ilvl w:val="0"/>
          <w:numId w:val="2"/>
        </w:numPr>
        <w:spacing w:after="60" w:before="60"/>
      </w:pPr>
      <w:r>
        <w:rPr>
          <w:rFonts w:ascii="Arial" w:cs="Arial" w:eastAsia="Arial" w:hAnsi="Arial"/>
          <w:color w:val="1A202C"/>
          <w:sz w:val="22"/>
          <w:szCs w:val="22"/>
        </w:rPr>
        <w:t xml:space="preserve">Purchase timing intelligence — price history, upcoming releases, seasonal trends</w:t>
      </w:r>
    </w:p>
    <w:p>
      <w:pPr>
        <w:pStyle w:val="ListParagraph"/>
        <w:numPr>
          <w:ilvl w:val="0"/>
          <w:numId w:val="2"/>
        </w:numPr>
        <w:spacing w:after="60" w:before="60"/>
      </w:pPr>
      <w:r>
        <w:rPr>
          <w:rFonts w:ascii="Arial" w:cs="Arial" w:eastAsia="Arial" w:hAnsi="Arial"/>
          <w:color w:val="1A202C"/>
          <w:sz w:val="22"/>
          <w:szCs w:val="22"/>
        </w:rPr>
        <w:t xml:space="preserve">Financing and total cost of ownership modeling</w:t>
      </w:r>
    </w:p>
    <w:p>
      <w:pPr>
        <w:spacing w:after="0" w:before="120"/>
      </w:pPr>
      <w:r>
        <w:t xml:space="preserve"/>
      </w:r>
    </w:p>
    <w:p>
      <w:pPr>
        <w:pStyle w:val="Heading3"/>
        <w:spacing w:after="120" w:before="280"/>
      </w:pPr>
      <w:r>
        <w:rPr>
          <w:rFonts w:ascii="Arial" w:cs="Arial" w:eastAsia="Arial" w:hAnsi="Arial"/>
          <w:b/>
          <w:bCs/>
          <w:color w:val="7B2FFF"/>
          <w:sz w:val="26"/>
          <w:szCs w:val="26"/>
        </w:rPr>
        <w:t xml:space="preserve">AI Architecture</w:t>
      </w:r>
    </w:p>
    <w:p>
      <w:pPr>
        <w:pStyle w:val="ListParagraph"/>
        <w:numPr>
          <w:ilvl w:val="0"/>
          <w:numId w:val="2"/>
        </w:numPr>
        <w:spacing w:after="60" w:before="60"/>
      </w:pPr>
      <w:r>
        <w:rPr>
          <w:rFonts w:ascii="Arial" w:cs="Arial" w:eastAsia="Arial" w:hAnsi="Arial"/>
          <w:color w:val="1A202C"/>
          <w:sz w:val="22"/>
          <w:szCs w:val="22"/>
        </w:rPr>
        <w:t xml:space="preserve">Claude claude-sonnet-4-20250514 as primary reasoning layer</w:t>
      </w:r>
    </w:p>
    <w:p>
      <w:pPr>
        <w:pStyle w:val="ListParagraph"/>
        <w:numPr>
          <w:ilvl w:val="0"/>
          <w:numId w:val="2"/>
        </w:numPr>
        <w:spacing w:after="60" w:before="60"/>
      </w:pPr>
      <w:r>
        <w:rPr>
          <w:rFonts w:ascii="Arial" w:cs="Arial" w:eastAsia="Arial" w:hAnsi="Arial"/>
          <w:color w:val="1A202C"/>
          <w:sz w:val="22"/>
          <w:szCs w:val="22"/>
        </w:rPr>
        <w:t xml:space="preserve">Structured product database as retrieval layer (RAG + vector search)</w:t>
      </w:r>
    </w:p>
    <w:p>
      <w:pPr>
        <w:pStyle w:val="ListParagraph"/>
        <w:numPr>
          <w:ilvl w:val="0"/>
          <w:numId w:val="2"/>
        </w:numPr>
        <w:spacing w:after="60" w:before="60"/>
      </w:pPr>
      <w:r>
        <w:rPr>
          <w:rFonts w:ascii="Arial" w:cs="Arial" w:eastAsia="Arial" w:hAnsi="Arial"/>
          <w:color w:val="1A202C"/>
          <w:sz w:val="22"/>
          <w:szCs w:val="22"/>
        </w:rPr>
        <w:t xml:space="preserve">Real-time price and availability via retailer APIs</w:t>
      </w:r>
    </w:p>
    <w:p>
      <w:pPr>
        <w:pStyle w:val="ListParagraph"/>
        <w:numPr>
          <w:ilvl w:val="0"/>
          <w:numId w:val="2"/>
        </w:numPr>
        <w:spacing w:after="60" w:before="60"/>
      </w:pPr>
      <w:r>
        <w:rPr>
          <w:rFonts w:ascii="Arial" w:cs="Arial" w:eastAsia="Arial" w:hAnsi="Arial"/>
          <w:color w:val="1A202C"/>
          <w:sz w:val="22"/>
          <w:szCs w:val="22"/>
        </w:rPr>
        <w:t xml:space="preserve">Preference model updated per session and stored for Pro users</w:t>
      </w:r>
    </w:p>
    <w:p>
      <w:pPr>
        <w:pStyle w:val="ListParagraph"/>
        <w:numPr>
          <w:ilvl w:val="0"/>
          <w:numId w:val="2"/>
        </w:numPr>
        <w:spacing w:after="60" w:before="60"/>
      </w:pPr>
      <w:r>
        <w:rPr>
          <w:rFonts w:ascii="Arial" w:cs="Arial" w:eastAsia="Arial" w:hAnsi="Arial"/>
          <w:color w:val="1A202C"/>
          <w:sz w:val="22"/>
          <w:szCs w:val="22"/>
        </w:rPr>
        <w:t xml:space="preserve">Multi-turn conversational memory for complex purchase journeys</w:t>
      </w:r>
    </w:p>
    <w:p>
      <w:pPr>
        <w:spacing w:after="0" w:before="120"/>
      </w:pPr>
      <w:r>
        <w:t xml:space="preserve"/>
      </w:r>
    </w:p>
    <w:p>
      <w:pPr>
        <w:pStyle w:val="Heading2"/>
        <w:spacing w:after="160" w:before="360"/>
      </w:pPr>
      <w:r>
        <w:rPr>
          <w:rFonts w:ascii="Arial" w:cs="Arial" w:eastAsia="Arial" w:hAnsi="Arial"/>
          <w:b/>
          <w:bCs/>
          <w:color w:val="0A0F1E"/>
          <w:sz w:val="30"/>
          <w:szCs w:val="30"/>
        </w:rPr>
        <w:t xml:space="preserve">Module 2 — RoboReview: Expert + Community Review Platform</w:t>
      </w:r>
    </w:p>
    <w:p>
      <w:pPr>
        <w:spacing w:after="80" w:before="80"/>
      </w:pPr>
      <w:r>
        <w:rPr>
          <w:rFonts w:ascii="Arial" w:cs="Arial" w:eastAsia="Arial" w:hAnsi="Arial"/>
          <w:color w:val="1A202C"/>
          <w:sz w:val="22"/>
          <w:szCs w:val="22"/>
        </w:rPr>
        <w:t xml:space="preserve">The Wirecutter of robotics. Structured, rigorous, reproducible reviews with standardized benchmarking methodologies across all robot categories.</w:t>
      </w:r>
    </w:p>
    <w:p>
      <w:pPr>
        <w:spacing w:after="0" w:before="120"/>
      </w:pPr>
      <w:r>
        <w:t xml:space="preserve"/>
      </w:r>
    </w:p>
    <w:p>
      <w:pPr>
        <w:pStyle w:val="Heading3"/>
        <w:spacing w:after="120" w:before="280"/>
      </w:pPr>
      <w:r>
        <w:rPr>
          <w:rFonts w:ascii="Arial" w:cs="Arial" w:eastAsia="Arial" w:hAnsi="Arial"/>
          <w:b/>
          <w:bCs/>
          <w:color w:val="7B2FFF"/>
          <w:sz w:val="26"/>
          <w:szCs w:val="26"/>
        </w:rPr>
        <w:t xml:space="preserve">Review Types</w:t>
      </w:r>
    </w:p>
    <w:p>
      <w:pPr>
        <w:pStyle w:val="ListParagraph"/>
        <w:numPr>
          <w:ilvl w:val="0"/>
          <w:numId w:val="2"/>
        </w:numPr>
        <w:spacing w:after="60" w:before="60"/>
      </w:pPr>
      <w:r>
        <w:rPr>
          <w:rFonts w:ascii="Arial" w:cs="Arial" w:eastAsia="Arial" w:hAnsi="Arial"/>
          <w:color w:val="1A202C"/>
          <w:sz w:val="22"/>
          <w:szCs w:val="22"/>
        </w:rPr>
        <w:t xml:space="preserve">Expert reviews — staff writers and contracted robotics engineers</w:t>
      </w:r>
    </w:p>
    <w:p>
      <w:pPr>
        <w:pStyle w:val="ListParagraph"/>
        <w:numPr>
          <w:ilvl w:val="0"/>
          <w:numId w:val="2"/>
        </w:numPr>
        <w:spacing w:after="60" w:before="60"/>
      </w:pPr>
      <w:r>
        <w:rPr>
          <w:rFonts w:ascii="Arial" w:cs="Arial" w:eastAsia="Arial" w:hAnsi="Arial"/>
          <w:color w:val="1A202C"/>
          <w:sz w:val="22"/>
          <w:szCs w:val="22"/>
        </w:rPr>
        <w:t xml:space="preserve">Community reviews — verified purchase badge, structured review form</w:t>
      </w:r>
    </w:p>
    <w:p>
      <w:pPr>
        <w:pStyle w:val="ListParagraph"/>
        <w:numPr>
          <w:ilvl w:val="0"/>
          <w:numId w:val="2"/>
        </w:numPr>
        <w:spacing w:after="60" w:before="60"/>
      </w:pPr>
      <w:r>
        <w:rPr>
          <w:rFonts w:ascii="Arial" w:cs="Arial" w:eastAsia="Arial" w:hAnsi="Arial"/>
          <w:color w:val="1A202C"/>
          <w:sz w:val="22"/>
          <w:szCs w:val="22"/>
        </w:rPr>
        <w:t xml:space="preserve">Video reviews — embedded YouTube/hosted video with timestamped insight cards</w:t>
      </w:r>
    </w:p>
    <w:p>
      <w:pPr>
        <w:pStyle w:val="ListParagraph"/>
        <w:numPr>
          <w:ilvl w:val="0"/>
          <w:numId w:val="2"/>
        </w:numPr>
        <w:spacing w:after="60" w:before="60"/>
      </w:pPr>
      <w:r>
        <w:rPr>
          <w:rFonts w:ascii="Arial" w:cs="Arial" w:eastAsia="Arial" w:hAnsi="Arial"/>
          <w:color w:val="1A202C"/>
          <w:sz w:val="22"/>
          <w:szCs w:val="22"/>
        </w:rPr>
        <w:t xml:space="preserve">Comparative reviews — head-to-head benchmarks across standardized test protocols</w:t>
      </w:r>
    </w:p>
    <w:p>
      <w:pPr>
        <w:pStyle w:val="ListParagraph"/>
        <w:numPr>
          <w:ilvl w:val="0"/>
          <w:numId w:val="2"/>
        </w:numPr>
        <w:spacing w:after="60" w:before="60"/>
      </w:pPr>
      <w:r>
        <w:rPr>
          <w:rFonts w:ascii="Arial" w:cs="Arial" w:eastAsia="Arial" w:hAnsi="Arial"/>
          <w:color w:val="1A202C"/>
          <w:sz w:val="22"/>
          <w:szCs w:val="22"/>
        </w:rPr>
        <w:t xml:space="preserve">Long-term reviews — 3/6/12-month follow-up assessments</w:t>
      </w:r>
    </w:p>
    <w:p>
      <w:pPr>
        <w:pStyle w:val="ListParagraph"/>
        <w:numPr>
          <w:ilvl w:val="0"/>
          <w:numId w:val="2"/>
        </w:numPr>
        <w:spacing w:after="60" w:before="60"/>
      </w:pPr>
      <w:r>
        <w:rPr>
          <w:rFonts w:ascii="Arial" w:cs="Arial" w:eastAsia="Arial" w:hAnsi="Arial"/>
          <w:color w:val="1A202C"/>
          <w:sz w:val="22"/>
          <w:szCs w:val="22"/>
        </w:rPr>
        <w:t xml:space="preserve">Enterprise reviews — IT admin, fleet manager, and operator perspectives</w:t>
      </w:r>
    </w:p>
    <w:p>
      <w:pPr>
        <w:spacing w:after="0" w:before="120"/>
      </w:pPr>
      <w:r>
        <w:t xml:space="preserve"/>
      </w:r>
    </w:p>
    <w:p>
      <w:pPr>
        <w:pStyle w:val="Heading3"/>
        <w:spacing w:after="120" w:before="280"/>
      </w:pPr>
      <w:r>
        <w:rPr>
          <w:rFonts w:ascii="Arial" w:cs="Arial" w:eastAsia="Arial" w:hAnsi="Arial"/>
          <w:b/>
          <w:bCs/>
          <w:color w:val="7B2FFF"/>
          <w:sz w:val="26"/>
          <w:szCs w:val="26"/>
        </w:rPr>
        <w:t xml:space="preserve">RoboScore Methodology</w:t>
      </w:r>
    </w:p>
    <w:p>
      <w:pPr>
        <w:spacing w:after="80" w:before="80"/>
      </w:pPr>
      <w:r>
        <w:rPr>
          <w:rFonts w:ascii="Arial" w:cs="Arial" w:eastAsia="Arial" w:hAnsi="Arial"/>
          <w:color w:val="1A202C"/>
          <w:sz w:val="22"/>
          <w:szCs w:val="22"/>
        </w:rPr>
        <w:t xml:space="preserve">Our proprietary scoring system across 8 dimensions, weighted by use-case category:</w:t>
      </w:r>
    </w:p>
    <w:p>
      <w:pPr>
        <w:pStyle w:val="ListParagraph"/>
        <w:numPr>
          <w:ilvl w:val="0"/>
          <w:numId w:val="2"/>
        </w:numPr>
        <w:spacing w:after="60" w:before="60"/>
      </w:pPr>
      <w:r>
        <w:rPr>
          <w:rFonts w:ascii="Arial" w:cs="Arial" w:eastAsia="Arial" w:hAnsi="Arial"/>
          <w:color w:val="1A202C"/>
          <w:sz w:val="22"/>
          <w:szCs w:val="22"/>
        </w:rPr>
        <w:t xml:space="preserve">Performance (25%) — task completion rate, speed, accuracy in standardized tests</w:t>
      </w:r>
    </w:p>
    <w:p>
      <w:pPr>
        <w:pStyle w:val="ListParagraph"/>
        <w:numPr>
          <w:ilvl w:val="0"/>
          <w:numId w:val="2"/>
        </w:numPr>
        <w:spacing w:after="60" w:before="60"/>
      </w:pPr>
      <w:r>
        <w:rPr>
          <w:rFonts w:ascii="Arial" w:cs="Arial" w:eastAsia="Arial" w:hAnsi="Arial"/>
          <w:color w:val="1A202C"/>
          <w:sz w:val="22"/>
          <w:szCs w:val="22"/>
        </w:rPr>
        <w:t xml:space="preserve">Reliability (20%) — MTBF, error rate, recovery behavior</w:t>
      </w:r>
    </w:p>
    <w:p>
      <w:pPr>
        <w:pStyle w:val="ListParagraph"/>
        <w:numPr>
          <w:ilvl w:val="0"/>
          <w:numId w:val="2"/>
        </w:numPr>
        <w:spacing w:after="60" w:before="60"/>
      </w:pPr>
      <w:r>
        <w:rPr>
          <w:rFonts w:ascii="Arial" w:cs="Arial" w:eastAsia="Arial" w:hAnsi="Arial"/>
          <w:color w:val="1A202C"/>
          <w:sz w:val="22"/>
          <w:szCs w:val="22"/>
        </w:rPr>
        <w:t xml:space="preserve">Ease of Use (15%) — setup time, learning curve, companion app quality</w:t>
      </w:r>
    </w:p>
    <w:p>
      <w:pPr>
        <w:pStyle w:val="ListParagraph"/>
        <w:numPr>
          <w:ilvl w:val="0"/>
          <w:numId w:val="2"/>
        </w:numPr>
        <w:spacing w:after="60" w:before="60"/>
      </w:pPr>
      <w:r>
        <w:rPr>
          <w:rFonts w:ascii="Arial" w:cs="Arial" w:eastAsia="Arial" w:hAnsi="Arial"/>
          <w:color w:val="1A202C"/>
          <w:sz w:val="22"/>
          <w:szCs w:val="22"/>
        </w:rPr>
        <w:t xml:space="preserve">Intelligence (15%) — AI capability, adaptability, edge-case handling</w:t>
      </w:r>
    </w:p>
    <w:p>
      <w:pPr>
        <w:pStyle w:val="ListParagraph"/>
        <w:numPr>
          <w:ilvl w:val="0"/>
          <w:numId w:val="2"/>
        </w:numPr>
        <w:spacing w:after="60" w:before="60"/>
      </w:pPr>
      <w:r>
        <w:rPr>
          <w:rFonts w:ascii="Arial" w:cs="Arial" w:eastAsia="Arial" w:hAnsi="Arial"/>
          <w:color w:val="1A202C"/>
          <w:sz w:val="22"/>
          <w:szCs w:val="22"/>
        </w:rPr>
        <w:t xml:space="preserve">Value (10%) — price/performance ratio, TCO over 3 years</w:t>
      </w:r>
    </w:p>
    <w:p>
      <w:pPr>
        <w:pStyle w:val="ListParagraph"/>
        <w:numPr>
          <w:ilvl w:val="0"/>
          <w:numId w:val="2"/>
        </w:numPr>
        <w:spacing w:after="60" w:before="60"/>
      </w:pPr>
      <w:r>
        <w:rPr>
          <w:rFonts w:ascii="Arial" w:cs="Arial" w:eastAsia="Arial" w:hAnsi="Arial"/>
          <w:color w:val="1A202C"/>
          <w:sz w:val="22"/>
          <w:szCs w:val="22"/>
        </w:rPr>
        <w:t xml:space="preserve">Ecosystem (8%) — integrations, SDK, community, support</w:t>
      </w:r>
    </w:p>
    <w:p>
      <w:pPr>
        <w:pStyle w:val="ListParagraph"/>
        <w:numPr>
          <w:ilvl w:val="0"/>
          <w:numId w:val="2"/>
        </w:numPr>
        <w:spacing w:after="60" w:before="60"/>
      </w:pPr>
      <w:r>
        <w:rPr>
          <w:rFonts w:ascii="Arial" w:cs="Arial" w:eastAsia="Arial" w:hAnsi="Arial"/>
          <w:color w:val="1A202C"/>
          <w:sz w:val="22"/>
          <w:szCs w:val="22"/>
        </w:rPr>
        <w:t xml:space="preserve">Safety (5%) — certifications, fail-safe behaviors, physical safety testing</w:t>
      </w:r>
    </w:p>
    <w:p>
      <w:pPr>
        <w:pStyle w:val="ListParagraph"/>
        <w:numPr>
          <w:ilvl w:val="0"/>
          <w:numId w:val="2"/>
        </w:numPr>
        <w:spacing w:after="60" w:before="60"/>
      </w:pPr>
      <w:r>
        <w:rPr>
          <w:rFonts w:ascii="Arial" w:cs="Arial" w:eastAsia="Arial" w:hAnsi="Arial"/>
          <w:color w:val="1A202C"/>
          <w:sz w:val="22"/>
          <w:szCs w:val="22"/>
        </w:rPr>
        <w:t xml:space="preserve">Design (2%) — form factor, noise, ergonomics</w:t>
      </w:r>
    </w:p>
    <w:p>
      <w:pPr>
        <w:spacing w:after="0" w:before="120"/>
      </w:pPr>
      <w:r>
        <w:t xml:space="preserve"/>
      </w:r>
    </w:p>
    <w:p>
      <w:pPr>
        <w:pStyle w:val="Heading3"/>
        <w:spacing w:after="120" w:before="280"/>
      </w:pPr>
      <w:r>
        <w:rPr>
          <w:rFonts w:ascii="Arial" w:cs="Arial" w:eastAsia="Arial" w:hAnsi="Arial"/>
          <w:b/>
          <w:bCs/>
          <w:color w:val="7B2FFF"/>
          <w:sz w:val="26"/>
          <w:szCs w:val="26"/>
        </w:rPr>
        <w:t xml:space="preserve">Content Production Engine</w:t>
      </w:r>
    </w:p>
    <w:p>
      <w:pPr>
        <w:pStyle w:val="ListParagraph"/>
        <w:numPr>
          <w:ilvl w:val="0"/>
          <w:numId w:val="2"/>
        </w:numPr>
        <w:spacing w:after="60" w:before="60"/>
      </w:pPr>
      <w:r>
        <w:rPr>
          <w:rFonts w:ascii="Arial" w:cs="Arial" w:eastAsia="Arial" w:hAnsi="Arial"/>
          <w:color w:val="1A202C"/>
          <w:sz w:val="22"/>
          <w:szCs w:val="22"/>
        </w:rPr>
        <w:t xml:space="preserve">Target: 50 expert reviews at launch, 500 by end of Year 1</w:t>
      </w:r>
    </w:p>
    <w:p>
      <w:pPr>
        <w:pStyle w:val="ListParagraph"/>
        <w:numPr>
          <w:ilvl w:val="0"/>
          <w:numId w:val="2"/>
        </w:numPr>
        <w:spacing w:after="60" w:before="60"/>
      </w:pPr>
      <w:r>
        <w:rPr>
          <w:rFonts w:ascii="Arial" w:cs="Arial" w:eastAsia="Arial" w:hAnsi="Arial"/>
          <w:color w:val="1A202C"/>
          <w:sz w:val="22"/>
          <w:szCs w:val="22"/>
        </w:rPr>
        <w:t xml:space="preserve">Review lab partnerships — university robotics labs, independent testing facilities</w:t>
      </w:r>
    </w:p>
    <w:p>
      <w:pPr>
        <w:pStyle w:val="ListParagraph"/>
        <w:numPr>
          <w:ilvl w:val="0"/>
          <w:numId w:val="2"/>
        </w:numPr>
        <w:spacing w:after="60" w:before="60"/>
      </w:pPr>
      <w:r>
        <w:rPr>
          <w:rFonts w:ascii="Arial" w:cs="Arial" w:eastAsia="Arial" w:hAnsi="Arial"/>
          <w:color w:val="1A202C"/>
          <w:sz w:val="22"/>
          <w:szCs w:val="22"/>
        </w:rPr>
        <w:t xml:space="preserve">Test protocol library — 400+ standardized test scenarios across 12 categories</w:t>
      </w:r>
    </w:p>
    <w:p>
      <w:pPr>
        <w:pStyle w:val="ListParagraph"/>
        <w:numPr>
          <w:ilvl w:val="0"/>
          <w:numId w:val="2"/>
        </w:numPr>
        <w:spacing w:after="60" w:before="60"/>
      </w:pPr>
      <w:r>
        <w:rPr>
          <w:rFonts w:ascii="Arial" w:cs="Arial" w:eastAsia="Arial" w:hAnsi="Arial"/>
          <w:color w:val="1A202C"/>
          <w:sz w:val="22"/>
          <w:szCs w:val="22"/>
        </w:rPr>
        <w:t xml:space="preserve">Review API — third parties can submit structured data for consideration</w:t>
      </w:r>
    </w:p>
    <w:p>
      <w:pPr>
        <w:spacing w:after="0" w:before="120"/>
      </w:pPr>
      <w:r>
        <w:t xml:space="preserve"/>
      </w:r>
    </w:p>
    <w:p>
      <w:pPr>
        <w:pStyle w:val="Heading2"/>
        <w:spacing w:after="160" w:before="360"/>
      </w:pPr>
      <w:r>
        <w:rPr>
          <w:rFonts w:ascii="Arial" w:cs="Arial" w:eastAsia="Arial" w:hAnsi="Arial"/>
          <w:b/>
          <w:bCs/>
          <w:color w:val="0A0F1E"/>
          <w:sz w:val="30"/>
          <w:szCs w:val="30"/>
        </w:rPr>
        <w:t xml:space="preserve">Module 3 — RoboMarket: Buy/Sell/Trade Marketplace</w:t>
      </w:r>
    </w:p>
    <w:p>
      <w:pPr>
        <w:spacing w:after="80" w:before="80"/>
      </w:pPr>
      <w:r>
        <w:rPr>
          <w:rFonts w:ascii="Arial" w:cs="Arial" w:eastAsia="Arial" w:hAnsi="Arial"/>
          <w:color w:val="1A202C"/>
          <w:sz w:val="22"/>
          <w:szCs w:val="22"/>
        </w:rPr>
        <w:t xml:space="preserve">The only marketplace purpose-built for robotics — with condition grading, provenance tracking, compatibility verification, and escrow/warranty infrastructure.</w:t>
      </w:r>
    </w:p>
    <w:p>
      <w:pPr>
        <w:spacing w:after="0" w:before="120"/>
      </w:pPr>
      <w:r>
        <w:t xml:space="preserve"/>
      </w:r>
    </w:p>
    <w:p>
      <w:pPr>
        <w:pStyle w:val="Heading3"/>
        <w:spacing w:after="120" w:before="280"/>
      </w:pPr>
      <w:r>
        <w:rPr>
          <w:rFonts w:ascii="Arial" w:cs="Arial" w:eastAsia="Arial" w:hAnsi="Arial"/>
          <w:b/>
          <w:bCs/>
          <w:color w:val="7B2FFF"/>
          <w:sz w:val="26"/>
          <w:szCs w:val="26"/>
        </w:rPr>
        <w:t xml:space="preserve">Marketplace Segments</w:t>
      </w:r>
    </w:p>
    <w:p>
      <w:pPr>
        <w:pStyle w:val="ListParagraph"/>
        <w:numPr>
          <w:ilvl w:val="0"/>
          <w:numId w:val="2"/>
        </w:numPr>
        <w:spacing w:after="60" w:before="60"/>
      </w:pPr>
      <w:r>
        <w:rPr>
          <w:rFonts w:ascii="Arial" w:cs="Arial" w:eastAsia="Arial" w:hAnsi="Arial"/>
          <w:color w:val="1A202C"/>
          <w:sz w:val="22"/>
          <w:szCs w:val="22"/>
        </w:rPr>
        <w:t xml:space="preserve">New robots — direct from manufacturer and authorized reseller network</w:t>
      </w:r>
    </w:p>
    <w:p>
      <w:pPr>
        <w:pStyle w:val="ListParagraph"/>
        <w:numPr>
          <w:ilvl w:val="0"/>
          <w:numId w:val="2"/>
        </w:numPr>
        <w:spacing w:after="60" w:before="60"/>
      </w:pPr>
      <w:r>
        <w:rPr>
          <w:rFonts w:ascii="Arial" w:cs="Arial" w:eastAsia="Arial" w:hAnsi="Arial"/>
          <w:color w:val="1A202C"/>
          <w:sz w:val="22"/>
          <w:szCs w:val="22"/>
        </w:rPr>
        <w:t xml:space="preserve">Certified refurbished — RoboNexus-inspected, re-warranted pre-owned robots</w:t>
      </w:r>
    </w:p>
    <w:p>
      <w:pPr>
        <w:pStyle w:val="ListParagraph"/>
        <w:numPr>
          <w:ilvl w:val="0"/>
          <w:numId w:val="2"/>
        </w:numPr>
        <w:spacing w:after="60" w:before="60"/>
      </w:pPr>
      <w:r>
        <w:rPr>
          <w:rFonts w:ascii="Arial" w:cs="Arial" w:eastAsia="Arial" w:hAnsi="Arial"/>
          <w:color w:val="1A202C"/>
          <w:sz w:val="22"/>
          <w:szCs w:val="22"/>
        </w:rPr>
        <w:t xml:space="preserve">Peer-to-peer marketplace — consumer to consumer with RoboNexus escrow</w:t>
      </w:r>
    </w:p>
    <w:p>
      <w:pPr>
        <w:pStyle w:val="ListParagraph"/>
        <w:numPr>
          <w:ilvl w:val="0"/>
          <w:numId w:val="2"/>
        </w:numPr>
        <w:spacing w:after="60" w:before="60"/>
      </w:pPr>
      <w:r>
        <w:rPr>
          <w:rFonts w:ascii="Arial" w:cs="Arial" w:eastAsia="Arial" w:hAnsi="Arial"/>
          <w:color w:val="1A202C"/>
          <w:sz w:val="22"/>
          <w:szCs w:val="22"/>
        </w:rPr>
        <w:t xml:space="preserve">Enterprise surplus — bulk listings from enterprises, hospitals, warehouses decommissioning fleets</w:t>
      </w:r>
    </w:p>
    <w:p>
      <w:pPr>
        <w:pStyle w:val="ListParagraph"/>
        <w:numPr>
          <w:ilvl w:val="0"/>
          <w:numId w:val="2"/>
        </w:numPr>
        <w:spacing w:after="60" w:before="60"/>
      </w:pPr>
      <w:r>
        <w:rPr>
          <w:rFonts w:ascii="Arial" w:cs="Arial" w:eastAsia="Arial" w:hAnsi="Arial"/>
          <w:color w:val="1A202C"/>
          <w:sz w:val="22"/>
          <w:szCs w:val="22"/>
        </w:rPr>
        <w:t xml:space="preserve">Parts &amp; accessories — sensors, actuators, grippers, batteries, frames</w:t>
      </w:r>
    </w:p>
    <w:p>
      <w:pPr>
        <w:pStyle w:val="ListParagraph"/>
        <w:numPr>
          <w:ilvl w:val="0"/>
          <w:numId w:val="2"/>
        </w:numPr>
        <w:spacing w:after="60" w:before="60"/>
      </w:pPr>
      <w:r>
        <w:rPr>
          <w:rFonts w:ascii="Arial" w:cs="Arial" w:eastAsia="Arial" w:hAnsi="Arial"/>
          <w:color w:val="1A202C"/>
          <w:sz w:val="22"/>
          <w:szCs w:val="22"/>
        </w:rPr>
        <w:t xml:space="preserve">Software &amp; licenses — firmware, apps, AI model packages</w:t>
      </w:r>
    </w:p>
    <w:p>
      <w:pPr>
        <w:pStyle w:val="ListParagraph"/>
        <w:numPr>
          <w:ilvl w:val="0"/>
          <w:numId w:val="2"/>
        </w:numPr>
        <w:spacing w:after="60" w:before="60"/>
      </w:pPr>
      <w:r>
        <w:rPr>
          <w:rFonts w:ascii="Arial" w:cs="Arial" w:eastAsia="Arial" w:hAnsi="Arial"/>
          <w:color w:val="1A202C"/>
          <w:sz w:val="22"/>
          <w:szCs w:val="22"/>
        </w:rPr>
        <w:t xml:space="preserve">Services — installation, training, maintenance, integration partners</w:t>
      </w:r>
    </w:p>
    <w:p>
      <w:pPr>
        <w:spacing w:after="0" w:before="120"/>
      </w:pPr>
      <w:r>
        <w:t xml:space="preserve"/>
      </w:r>
    </w:p>
    <w:p>
      <w:pPr>
        <w:pStyle w:val="Heading3"/>
        <w:spacing w:after="120" w:before="280"/>
      </w:pPr>
      <w:r>
        <w:rPr>
          <w:rFonts w:ascii="Arial" w:cs="Arial" w:eastAsia="Arial" w:hAnsi="Arial"/>
          <w:b/>
          <w:bCs/>
          <w:color w:val="7B2FFF"/>
          <w:sz w:val="26"/>
          <w:szCs w:val="26"/>
        </w:rPr>
        <w:t xml:space="preserve">Marketplace Intelligence Features</w:t>
      </w:r>
    </w:p>
    <w:p>
      <w:pPr>
        <w:pStyle w:val="ListParagraph"/>
        <w:numPr>
          <w:ilvl w:val="0"/>
          <w:numId w:val="2"/>
        </w:numPr>
        <w:spacing w:after="60" w:before="60"/>
      </w:pPr>
      <w:r>
        <w:rPr>
          <w:rFonts w:ascii="Arial" w:cs="Arial" w:eastAsia="Arial" w:hAnsi="Arial"/>
          <w:color w:val="1A202C"/>
          <w:sz w:val="22"/>
          <w:szCs w:val="22"/>
        </w:rPr>
        <w:t xml:space="preserve">Price history charts — track every listed SKU over 24 months</w:t>
      </w:r>
    </w:p>
    <w:p>
      <w:pPr>
        <w:pStyle w:val="ListParagraph"/>
        <w:numPr>
          <w:ilvl w:val="0"/>
          <w:numId w:val="2"/>
        </w:numPr>
        <w:spacing w:after="60" w:before="60"/>
      </w:pPr>
      <w:r>
        <w:rPr>
          <w:rFonts w:ascii="Arial" w:cs="Arial" w:eastAsia="Arial" w:hAnsi="Arial"/>
          <w:color w:val="1A202C"/>
          <w:sz w:val="22"/>
          <w:szCs w:val="22"/>
        </w:rPr>
        <w:t xml:space="preserve">Fair Value Score — algorithmic pricing guidance for sellers</w:t>
      </w:r>
    </w:p>
    <w:p>
      <w:pPr>
        <w:pStyle w:val="ListParagraph"/>
        <w:numPr>
          <w:ilvl w:val="0"/>
          <w:numId w:val="2"/>
        </w:numPr>
        <w:spacing w:after="60" w:before="60"/>
      </w:pPr>
      <w:r>
        <w:rPr>
          <w:rFonts w:ascii="Arial" w:cs="Arial" w:eastAsia="Arial" w:hAnsi="Arial"/>
          <w:color w:val="1A202C"/>
          <w:sz w:val="22"/>
          <w:szCs w:val="22"/>
        </w:rPr>
        <w:t xml:space="preserve">Condition grading rubric — standardized 5-tier condition system (Mint/Excellent/Good/Fair/Parts)</w:t>
      </w:r>
    </w:p>
    <w:p>
      <w:pPr>
        <w:pStyle w:val="ListParagraph"/>
        <w:numPr>
          <w:ilvl w:val="0"/>
          <w:numId w:val="2"/>
        </w:numPr>
        <w:spacing w:after="60" w:before="60"/>
      </w:pPr>
      <w:r>
        <w:rPr>
          <w:rFonts w:ascii="Arial" w:cs="Arial" w:eastAsia="Arial" w:hAnsi="Arial"/>
          <w:color w:val="1A202C"/>
          <w:sz w:val="22"/>
          <w:szCs w:val="22"/>
        </w:rPr>
        <w:t xml:space="preserve">Compatibility checker — verify accessories/parts work with target robot</w:t>
      </w:r>
    </w:p>
    <w:p>
      <w:pPr>
        <w:pStyle w:val="ListParagraph"/>
        <w:numPr>
          <w:ilvl w:val="0"/>
          <w:numId w:val="2"/>
        </w:numPr>
        <w:spacing w:after="60" w:before="60"/>
      </w:pPr>
      <w:r>
        <w:rPr>
          <w:rFonts w:ascii="Arial" w:cs="Arial" w:eastAsia="Arial" w:hAnsi="Arial"/>
          <w:color w:val="1A202C"/>
          <w:sz w:val="22"/>
          <w:szCs w:val="22"/>
        </w:rPr>
        <w:t xml:space="preserve">Escrow &amp; dispute resolution — RoboNexus-managed transaction protection</w:t>
      </w:r>
    </w:p>
    <w:p>
      <w:pPr>
        <w:pStyle w:val="ListParagraph"/>
        <w:numPr>
          <w:ilvl w:val="0"/>
          <w:numId w:val="2"/>
        </w:numPr>
        <w:spacing w:after="60" w:before="60"/>
      </w:pPr>
      <w:r>
        <w:rPr>
          <w:rFonts w:ascii="Arial" w:cs="Arial" w:eastAsia="Arial" w:hAnsi="Arial"/>
          <w:color w:val="1A202C"/>
          <w:sz w:val="22"/>
          <w:szCs w:val="22"/>
        </w:rPr>
        <w:t xml:space="preserve">Fleet deals — bulk pricing negotiation tooling for enterprise buyers</w:t>
      </w:r>
    </w:p>
    <w:p>
      <w:pPr>
        <w:pStyle w:val="ListParagraph"/>
        <w:numPr>
          <w:ilvl w:val="0"/>
          <w:numId w:val="2"/>
        </w:numPr>
        <w:spacing w:after="60" w:before="60"/>
      </w:pPr>
      <w:r>
        <w:rPr>
          <w:rFonts w:ascii="Arial" w:cs="Arial" w:eastAsia="Arial" w:hAnsi="Arial"/>
          <w:color w:val="1A202C"/>
          <w:sz w:val="22"/>
          <w:szCs w:val="22"/>
        </w:rPr>
        <w:t xml:space="preserve">Wanted listings — post requests, get matched with sellers</w:t>
      </w:r>
    </w:p>
    <w:p>
      <w:pPr>
        <w:spacing w:after="0" w:before="120"/>
      </w:pPr>
      <w:r>
        <w:t xml:space="preserve"/>
      </w:r>
    </w:p>
    <w:p>
      <w:pPr>
        <w:pStyle w:val="Heading2"/>
        <w:spacing w:after="160" w:before="360"/>
      </w:pPr>
      <w:r>
        <w:rPr>
          <w:rFonts w:ascii="Arial" w:cs="Arial" w:eastAsia="Arial" w:hAnsi="Arial"/>
          <w:b/>
          <w:bCs/>
          <w:color w:val="0A0F1E"/>
          <w:sz w:val="30"/>
          <w:szCs w:val="30"/>
        </w:rPr>
        <w:t xml:space="preserve">Module 4 — RoboLearn: Education &amp; Onboarding Platform</w:t>
      </w:r>
    </w:p>
    <w:p>
      <w:pPr>
        <w:spacing w:after="80" w:before="80"/>
      </w:pPr>
      <w:r>
        <w:rPr>
          <w:rFonts w:ascii="Arial" w:cs="Arial" w:eastAsia="Arial" w:hAnsi="Arial"/>
          <w:color w:val="1A202C"/>
          <w:sz w:val="22"/>
          <w:szCs w:val="22"/>
        </w:rPr>
        <w:t xml:space="preserve">The on-ramp for every user. From "What is a robot?" to "How do I build and deploy a custom manipulation task on a 7-DOF arm?" — RoboLearn serves every knowledge level.</w:t>
      </w:r>
    </w:p>
    <w:p>
      <w:pPr>
        <w:spacing w:after="0" w:before="120"/>
      </w:pPr>
      <w:r>
        <w:t xml:space="preserve"/>
      </w:r>
    </w:p>
    <w:p>
      <w:pPr>
        <w:pStyle w:val="Heading3"/>
        <w:spacing w:after="120" w:before="280"/>
      </w:pPr>
      <w:r>
        <w:rPr>
          <w:rFonts w:ascii="Arial" w:cs="Arial" w:eastAsia="Arial" w:hAnsi="Arial"/>
          <w:b/>
          <w:bCs/>
          <w:color w:val="7B2FFF"/>
          <w:sz w:val="26"/>
          <w:szCs w:val="26"/>
        </w:rPr>
        <w:t xml:space="preserve">Content Tracks</w:t>
      </w:r>
    </w:p>
    <w:p>
      <w:pPr>
        <w:pStyle w:val="ListParagraph"/>
        <w:numPr>
          <w:ilvl w:val="0"/>
          <w:numId w:val="2"/>
        </w:numPr>
        <w:spacing w:after="60" w:before="60"/>
      </w:pPr>
      <w:r>
        <w:rPr>
          <w:rFonts w:ascii="Arial" w:cs="Arial" w:eastAsia="Arial" w:hAnsi="Arial"/>
          <w:color w:val="1A202C"/>
          <w:sz w:val="22"/>
          <w:szCs w:val="22"/>
        </w:rPr>
        <w:t xml:space="preserve">Consumer Track — Home robot setup, maintenance, troubleshooting, optimization</w:t>
      </w:r>
    </w:p>
    <w:p>
      <w:pPr>
        <w:pStyle w:val="ListParagraph"/>
        <w:numPr>
          <w:ilvl w:val="0"/>
          <w:numId w:val="2"/>
        </w:numPr>
        <w:spacing w:after="60" w:before="60"/>
      </w:pPr>
      <w:r>
        <w:rPr>
          <w:rFonts w:ascii="Arial" w:cs="Arial" w:eastAsia="Arial" w:hAnsi="Arial"/>
          <w:color w:val="1A202C"/>
          <w:sz w:val="22"/>
          <w:szCs w:val="22"/>
        </w:rPr>
        <w:t xml:space="preserve">Enthusiast Track — Hardware hacking, custom programming, community projects</w:t>
      </w:r>
    </w:p>
    <w:p>
      <w:pPr>
        <w:pStyle w:val="ListParagraph"/>
        <w:numPr>
          <w:ilvl w:val="0"/>
          <w:numId w:val="2"/>
        </w:numPr>
        <w:spacing w:after="60" w:before="60"/>
      </w:pPr>
      <w:r>
        <w:rPr>
          <w:rFonts w:ascii="Arial" w:cs="Arial" w:eastAsia="Arial" w:hAnsi="Arial"/>
          <w:color w:val="1A202C"/>
          <w:sz w:val="22"/>
          <w:szCs w:val="22"/>
        </w:rPr>
        <w:t xml:space="preserve">Professional Track — Fleet management, enterprise integration, vendor assessment</w:t>
      </w:r>
    </w:p>
    <w:p>
      <w:pPr>
        <w:pStyle w:val="ListParagraph"/>
        <w:numPr>
          <w:ilvl w:val="0"/>
          <w:numId w:val="2"/>
        </w:numPr>
        <w:spacing w:after="60" w:before="60"/>
      </w:pPr>
      <w:r>
        <w:rPr>
          <w:rFonts w:ascii="Arial" w:cs="Arial" w:eastAsia="Arial" w:hAnsi="Arial"/>
          <w:color w:val="1A202C"/>
          <w:sz w:val="22"/>
          <w:szCs w:val="22"/>
        </w:rPr>
        <w:t xml:space="preserve">Developer Track — SDK usage, API integration, robot application development</w:t>
      </w:r>
    </w:p>
    <w:p>
      <w:pPr>
        <w:pStyle w:val="ListParagraph"/>
        <w:numPr>
          <w:ilvl w:val="0"/>
          <w:numId w:val="2"/>
        </w:numPr>
        <w:spacing w:after="60" w:before="60"/>
      </w:pPr>
      <w:r>
        <w:rPr>
          <w:rFonts w:ascii="Arial" w:cs="Arial" w:eastAsia="Arial" w:hAnsi="Arial"/>
          <w:color w:val="1A202C"/>
          <w:sz w:val="22"/>
          <w:szCs w:val="22"/>
        </w:rPr>
        <w:t xml:space="preserve">Student Track — Curriculum-aligned robotics education K-12 and university</w:t>
      </w:r>
    </w:p>
    <w:p>
      <w:pPr>
        <w:spacing w:after="0" w:before="120"/>
      </w:pPr>
      <w:r>
        <w:t xml:space="preserve"/>
      </w:r>
    </w:p>
    <w:p>
      <w:pPr>
        <w:pStyle w:val="Heading3"/>
        <w:spacing w:after="120" w:before="280"/>
      </w:pPr>
      <w:r>
        <w:rPr>
          <w:rFonts w:ascii="Arial" w:cs="Arial" w:eastAsia="Arial" w:hAnsi="Arial"/>
          <w:b/>
          <w:bCs/>
          <w:color w:val="7B2FFF"/>
          <w:sz w:val="26"/>
          <w:szCs w:val="26"/>
        </w:rPr>
        <w:t xml:space="preserve">Content Formats</w:t>
      </w:r>
    </w:p>
    <w:p>
      <w:pPr>
        <w:pStyle w:val="ListParagraph"/>
        <w:numPr>
          <w:ilvl w:val="0"/>
          <w:numId w:val="2"/>
        </w:numPr>
        <w:spacing w:after="60" w:before="60"/>
      </w:pPr>
      <w:r>
        <w:rPr>
          <w:rFonts w:ascii="Arial" w:cs="Arial" w:eastAsia="Arial" w:hAnsi="Arial"/>
          <w:color w:val="1A202C"/>
          <w:sz w:val="22"/>
          <w:szCs w:val="22"/>
        </w:rPr>
        <w:t xml:space="preserve">Interactive tutorials with embedded AI assistant for stuck moments</w:t>
      </w:r>
    </w:p>
    <w:p>
      <w:pPr>
        <w:pStyle w:val="ListParagraph"/>
        <w:numPr>
          <w:ilvl w:val="0"/>
          <w:numId w:val="2"/>
        </w:numPr>
        <w:spacing w:after="60" w:before="60"/>
      </w:pPr>
      <w:r>
        <w:rPr>
          <w:rFonts w:ascii="Arial" w:cs="Arial" w:eastAsia="Arial" w:hAnsi="Arial"/>
          <w:color w:val="1A202C"/>
          <w:sz w:val="22"/>
          <w:szCs w:val="22"/>
        </w:rPr>
        <w:t xml:space="preserve">Video courses with searchable transcripts and chapter markers</w:t>
      </w:r>
    </w:p>
    <w:p>
      <w:pPr>
        <w:pStyle w:val="ListParagraph"/>
        <w:numPr>
          <w:ilvl w:val="0"/>
          <w:numId w:val="2"/>
        </w:numPr>
        <w:spacing w:after="60" w:before="60"/>
      </w:pPr>
      <w:r>
        <w:rPr>
          <w:rFonts w:ascii="Arial" w:cs="Arial" w:eastAsia="Arial" w:hAnsi="Arial"/>
          <w:color w:val="1A202C"/>
          <w:sz w:val="22"/>
          <w:szCs w:val="22"/>
        </w:rPr>
        <w:t xml:space="preserve">Project library — step-by-step build and programming projects</w:t>
      </w:r>
    </w:p>
    <w:p>
      <w:pPr>
        <w:pStyle w:val="ListParagraph"/>
        <w:numPr>
          <w:ilvl w:val="0"/>
          <w:numId w:val="2"/>
        </w:numPr>
        <w:spacing w:after="60" w:before="60"/>
      </w:pPr>
      <w:r>
        <w:rPr>
          <w:rFonts w:ascii="Arial" w:cs="Arial" w:eastAsia="Arial" w:hAnsi="Arial"/>
          <w:color w:val="1A202C"/>
          <w:sz w:val="22"/>
          <w:szCs w:val="22"/>
        </w:rPr>
        <w:t xml:space="preserve">Simulations — browser-based robot simulators for practice before hardware</w:t>
      </w:r>
    </w:p>
    <w:p>
      <w:pPr>
        <w:pStyle w:val="ListParagraph"/>
        <w:numPr>
          <w:ilvl w:val="0"/>
          <w:numId w:val="2"/>
        </w:numPr>
        <w:spacing w:after="60" w:before="60"/>
      </w:pPr>
      <w:r>
        <w:rPr>
          <w:rFonts w:ascii="Arial" w:cs="Arial" w:eastAsia="Arial" w:hAnsi="Arial"/>
          <w:color w:val="1A202C"/>
          <w:sz w:val="22"/>
          <w:szCs w:val="22"/>
        </w:rPr>
        <w:t xml:space="preserve">Live workshops — weekly expert-led sessions, recorded and searchable</w:t>
      </w:r>
    </w:p>
    <w:p>
      <w:pPr>
        <w:pStyle w:val="ListParagraph"/>
        <w:numPr>
          <w:ilvl w:val="0"/>
          <w:numId w:val="2"/>
        </w:numPr>
        <w:spacing w:after="60" w:before="60"/>
      </w:pPr>
      <w:r>
        <w:rPr>
          <w:rFonts w:ascii="Arial" w:cs="Arial" w:eastAsia="Arial" w:hAnsi="Arial"/>
          <w:color w:val="1A202C"/>
          <w:sz w:val="22"/>
          <w:szCs w:val="22"/>
        </w:rPr>
        <w:t xml:space="preserve">Certification program — RoboNexus Certified Consumer/Developer/Engineer credentials</w:t>
      </w:r>
    </w:p>
    <w:p>
      <w:pPr>
        <w:spacing w:after="0" w:before="120"/>
      </w:pPr>
      <w:r>
        <w:t xml:space="preserve"/>
      </w:r>
    </w:p>
    <w:p>
      <w:pPr>
        <w:pStyle w:val="Heading2"/>
        <w:spacing w:after="160" w:before="360"/>
      </w:pPr>
      <w:r>
        <w:rPr>
          <w:rFonts w:ascii="Arial" w:cs="Arial" w:eastAsia="Arial" w:hAnsi="Arial"/>
          <w:b/>
          <w:bCs/>
          <w:color w:val="0A0F1E"/>
          <w:sz w:val="30"/>
          <w:szCs w:val="30"/>
        </w:rPr>
        <w:t xml:space="preserve">Module 5 — RoboConnect: Developer &amp; Enterprise Ecosystem Hub</w:t>
      </w:r>
    </w:p>
    <w:p>
      <w:pPr>
        <w:spacing w:after="80" w:before="80"/>
      </w:pPr>
      <w:r>
        <w:rPr>
          <w:rFonts w:ascii="Arial" w:cs="Arial" w:eastAsia="Arial" w:hAnsi="Arial"/>
          <w:color w:val="1A202C"/>
          <w:sz w:val="22"/>
          <w:szCs w:val="22"/>
        </w:rPr>
        <w:t xml:space="preserve">The B2B and developer layer that creates network effects and monetizable data pipelines.</w:t>
      </w:r>
    </w:p>
    <w:p>
      <w:pPr>
        <w:spacing w:after="0" w:before="120"/>
      </w:pPr>
      <w:r>
        <w:t xml:space="preserve"/>
      </w:r>
    </w:p>
    <w:p>
      <w:pPr>
        <w:pStyle w:val="Heading3"/>
        <w:spacing w:after="120" w:before="280"/>
      </w:pPr>
      <w:r>
        <w:rPr>
          <w:rFonts w:ascii="Arial" w:cs="Arial" w:eastAsia="Arial" w:hAnsi="Arial"/>
          <w:b/>
          <w:bCs/>
          <w:color w:val="7B2FFF"/>
          <w:sz w:val="26"/>
          <w:szCs w:val="26"/>
        </w:rPr>
        <w:t xml:space="preserve">Developer Tools</w:t>
      </w:r>
    </w:p>
    <w:p>
      <w:pPr>
        <w:pStyle w:val="ListParagraph"/>
        <w:numPr>
          <w:ilvl w:val="0"/>
          <w:numId w:val="2"/>
        </w:numPr>
        <w:spacing w:after="60" w:before="60"/>
      </w:pPr>
      <w:r>
        <w:rPr>
          <w:rFonts w:ascii="Arial" w:cs="Arial" w:eastAsia="Arial" w:hAnsi="Arial"/>
          <w:color w:val="1A202C"/>
          <w:sz w:val="22"/>
          <w:szCs w:val="22"/>
        </w:rPr>
        <w:t xml:space="preserve">RoboNexus API — access to product database, pricing, reviews, and specs</w:t>
      </w:r>
    </w:p>
    <w:p>
      <w:pPr>
        <w:pStyle w:val="ListParagraph"/>
        <w:numPr>
          <w:ilvl w:val="0"/>
          <w:numId w:val="2"/>
        </w:numPr>
        <w:spacing w:after="60" w:before="60"/>
      </w:pPr>
      <w:r>
        <w:rPr>
          <w:rFonts w:ascii="Arial" w:cs="Arial" w:eastAsia="Arial" w:hAnsi="Arial"/>
          <w:color w:val="1A202C"/>
          <w:sz w:val="22"/>
          <w:szCs w:val="22"/>
        </w:rPr>
        <w:t xml:space="preserve">SDK for app developers building on robot platforms</w:t>
      </w:r>
    </w:p>
    <w:p>
      <w:pPr>
        <w:pStyle w:val="ListParagraph"/>
        <w:numPr>
          <w:ilvl w:val="0"/>
          <w:numId w:val="2"/>
        </w:numPr>
        <w:spacing w:after="60" w:before="60"/>
      </w:pPr>
      <w:r>
        <w:rPr>
          <w:rFonts w:ascii="Arial" w:cs="Arial" w:eastAsia="Arial" w:hAnsi="Arial"/>
          <w:color w:val="1A202C"/>
          <w:sz w:val="22"/>
          <w:szCs w:val="22"/>
        </w:rPr>
        <w:t xml:space="preserve">Webhook and integration infrastructure for enterprise systems (ERP, WMS, CMMS)</w:t>
      </w:r>
    </w:p>
    <w:p>
      <w:pPr>
        <w:pStyle w:val="ListParagraph"/>
        <w:numPr>
          <w:ilvl w:val="0"/>
          <w:numId w:val="2"/>
        </w:numPr>
        <w:spacing w:after="60" w:before="60"/>
      </w:pPr>
      <w:r>
        <w:rPr>
          <w:rFonts w:ascii="Arial" w:cs="Arial" w:eastAsia="Arial" w:hAnsi="Arial"/>
          <w:color w:val="1A202C"/>
          <w:sz w:val="22"/>
          <w:szCs w:val="22"/>
        </w:rPr>
        <w:t xml:space="preserve">GitHub-style project sharing for robotics code and configurations</w:t>
      </w:r>
    </w:p>
    <w:p>
      <w:pPr>
        <w:pStyle w:val="ListParagraph"/>
        <w:numPr>
          <w:ilvl w:val="0"/>
          <w:numId w:val="2"/>
        </w:numPr>
        <w:spacing w:after="60" w:before="60"/>
      </w:pPr>
      <w:r>
        <w:rPr>
          <w:rFonts w:ascii="Arial" w:cs="Arial" w:eastAsia="Arial" w:hAnsi="Arial"/>
          <w:color w:val="1A202C"/>
          <w:sz w:val="22"/>
          <w:szCs w:val="22"/>
        </w:rPr>
        <w:t xml:space="preserve">MCP server for AI agents that need robotics intelligence</w:t>
      </w:r>
    </w:p>
    <w:p>
      <w:pPr>
        <w:spacing w:after="0" w:before="120"/>
      </w:pPr>
      <w:r>
        <w:t xml:space="preserve"/>
      </w:r>
    </w:p>
    <w:p>
      <w:pPr>
        <w:pStyle w:val="Heading3"/>
        <w:spacing w:after="120" w:before="280"/>
      </w:pPr>
      <w:r>
        <w:rPr>
          <w:rFonts w:ascii="Arial" w:cs="Arial" w:eastAsia="Arial" w:hAnsi="Arial"/>
          <w:b/>
          <w:bCs/>
          <w:color w:val="7B2FFF"/>
          <w:sz w:val="26"/>
          <w:szCs w:val="26"/>
        </w:rPr>
        <w:t xml:space="preserve">Enterprise Products</w:t>
      </w:r>
    </w:p>
    <w:p>
      <w:pPr>
        <w:pStyle w:val="ListParagraph"/>
        <w:numPr>
          <w:ilvl w:val="0"/>
          <w:numId w:val="2"/>
        </w:numPr>
        <w:spacing w:after="60" w:before="60"/>
      </w:pPr>
      <w:r>
        <w:rPr>
          <w:rFonts w:ascii="Arial" w:cs="Arial" w:eastAsia="Arial" w:hAnsi="Arial"/>
          <w:color w:val="1A202C"/>
          <w:sz w:val="22"/>
          <w:szCs w:val="22"/>
        </w:rPr>
        <w:t xml:space="preserve">RoboFleet Manager — dashboard for enterprises managing mixed robot fleets</w:t>
      </w:r>
    </w:p>
    <w:p>
      <w:pPr>
        <w:pStyle w:val="ListParagraph"/>
        <w:numPr>
          <w:ilvl w:val="0"/>
          <w:numId w:val="2"/>
        </w:numPr>
        <w:spacing w:after="60" w:before="60"/>
      </w:pPr>
      <w:r>
        <w:rPr>
          <w:rFonts w:ascii="Arial" w:cs="Arial" w:eastAsia="Arial" w:hAnsi="Arial"/>
          <w:color w:val="1A202C"/>
          <w:sz w:val="22"/>
          <w:szCs w:val="22"/>
        </w:rPr>
        <w:t xml:space="preserve">Vendor Assessment Reports — AI-generated procurement intelligence packages</w:t>
      </w:r>
    </w:p>
    <w:p>
      <w:pPr>
        <w:pStyle w:val="ListParagraph"/>
        <w:numPr>
          <w:ilvl w:val="0"/>
          <w:numId w:val="2"/>
        </w:numPr>
        <w:spacing w:after="60" w:before="60"/>
      </w:pPr>
      <w:r>
        <w:rPr>
          <w:rFonts w:ascii="Arial" w:cs="Arial" w:eastAsia="Arial" w:hAnsi="Arial"/>
          <w:color w:val="1A202C"/>
          <w:sz w:val="22"/>
          <w:szCs w:val="22"/>
        </w:rPr>
        <w:t xml:space="preserve">Integration Partner Directory — certified system integrators by geography and specialty</w:t>
      </w:r>
    </w:p>
    <w:p>
      <w:pPr>
        <w:pStyle w:val="ListParagraph"/>
        <w:numPr>
          <w:ilvl w:val="0"/>
          <w:numId w:val="2"/>
        </w:numPr>
        <w:spacing w:after="60" w:before="60"/>
      </w:pPr>
      <w:r>
        <w:rPr>
          <w:rFonts w:ascii="Arial" w:cs="Arial" w:eastAsia="Arial" w:hAnsi="Arial"/>
          <w:color w:val="1A202C"/>
          <w:sz w:val="22"/>
          <w:szCs w:val="22"/>
        </w:rPr>
        <w:t xml:space="preserve">Compliance &amp; Safety Tracker — monitor regulatory updates by jurisdiction and robot category</w:t>
      </w:r>
    </w:p>
    <w:p>
      <w:pPr>
        <w:pStyle w:val="ListParagraph"/>
        <w:numPr>
          <w:ilvl w:val="0"/>
          <w:numId w:val="2"/>
        </w:numPr>
        <w:spacing w:after="60" w:before="60"/>
      </w:pPr>
      <w:r>
        <w:rPr>
          <w:rFonts w:ascii="Arial" w:cs="Arial" w:eastAsia="Arial" w:hAnsi="Arial"/>
          <w:color w:val="1A202C"/>
          <w:sz w:val="22"/>
          <w:szCs w:val="22"/>
        </w:rPr>
        <w:t xml:space="preserve">ROI Benchmarking — compare actual vs. projected performance against peer data</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0A0F1E" w:val="clear"/>
            <w:tcMar>
              <w:top w:type="dxa" w:w="120"/>
              <w:left w:type="dxa" w:w="160"/>
              <w:bottom w:type="dxa" w:w="120"/>
              <w:right w:type="dxa" w:w="160"/>
            </w:tcMar>
            <w:vAlign w:val="center"/>
          </w:tcPr>
          <w:p>
            <w:pPr>
              <w:jc w:val="center"/>
            </w:pPr>
            <w:r>
              <w:rPr>
                <w:rFonts w:ascii="Arial" w:cs="Arial" w:eastAsia="Arial" w:hAnsi="Arial"/>
                <w:b/>
                <w:bCs/>
                <w:color w:val="00C2FF"/>
                <w:sz w:val="28"/>
                <w:szCs w:val="28"/>
              </w:rPr>
              <w:t xml:space="preserve">04</w:t>
            </w:r>
          </w:p>
        </w:tc>
        <w:tc>
          <w:tcPr>
            <w:tcW w:type="dxa" w:w="8560"/>
            <w:tcBorders>
              <w:top w:val="none" w:color="FFFFFF" w:sz="0"/>
              <w:left w:val="none" w:color="FFFFFF" w:sz="0"/>
              <w:bottom w:val="none" w:color="FFFFFF" w:sz="0"/>
              <w:right w:val="none" w:color="FFFFFF" w:sz="0"/>
            </w:tcBorders>
            <w:shd w:fill="F4F6FB" w:val="clear"/>
            <w:tcMar>
              <w:top w:type="dxa" w:w="120"/>
              <w:left w:type="dxa" w:w="200"/>
              <w:bottom w:type="dxa" w:w="120"/>
              <w:right w:type="dxa" w:w="160"/>
            </w:tcMar>
            <w:vAlign w:val="center"/>
          </w:tcPr>
          <w:p>
            <w:r>
              <w:rPr>
                <w:rFonts w:ascii="Arial" w:cs="Arial" w:eastAsia="Arial" w:hAnsi="Arial"/>
                <w:b/>
                <w:bCs/>
                <w:color w:val="0A0F1E"/>
                <w:spacing w:val="40"/>
                <w:sz w:val="28"/>
                <w:szCs w:val="28"/>
              </w:rPr>
              <w:t xml:space="preserve">TECHNICAL ARCHITECTURE &amp; STACK</w:t>
            </w:r>
          </w:p>
        </w:tc>
      </w:tr>
    </w:tbl>
    <w:p>
      <w:pPr>
        <w:spacing w:after="0" w:before="120"/>
      </w:pPr>
      <w:r>
        <w:t xml:space="preserve"/>
      </w:r>
    </w:p>
    <w:p>
      <w:pPr>
        <w:pStyle w:val="Heading2"/>
        <w:spacing w:after="160" w:before="360"/>
      </w:pPr>
      <w:r>
        <w:rPr>
          <w:rFonts w:ascii="Arial" w:cs="Arial" w:eastAsia="Arial" w:hAnsi="Arial"/>
          <w:b/>
          <w:bCs/>
          <w:color w:val="0A0F1E"/>
          <w:sz w:val="30"/>
          <w:szCs w:val="30"/>
        </w:rPr>
        <w:t xml:space="preserve">System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C2FF" w:sz="12"/>
              <w:bottom w:val="none" w:color="FFFFFF" w:sz="0"/>
              <w:right w:val="none" w:color="FFFFFF" w:sz="0"/>
            </w:tcBorders>
            <w:shd w:fill="EFF6FF" w:val="clear"/>
            <w:tcMar>
              <w:top w:type="dxa" w:w="120"/>
              <w:left w:type="dxa" w:w="240"/>
              <w:bottom w:type="dxa" w:w="120"/>
              <w:right w:type="dxa" w:w="240"/>
            </w:tcMar>
          </w:tcPr>
          <w:p>
            <w:r>
              <w:rPr>
                <w:rFonts w:ascii="Arial" w:cs="Arial" w:eastAsia="Arial" w:hAnsi="Arial"/>
                <w:i/>
                <w:iCs/>
                <w:color w:val="1A202C"/>
                <w:sz w:val="22"/>
                <w:szCs w:val="22"/>
              </w:rPr>
              <w:t xml:space="preserve">Architecture Principle: AI-first, API-first, data-native. Every feature is built as an API before it is a UI. Every user action generates structured data. Every data point feeds the intelligence layer.</w:t>
            </w:r>
          </w:p>
        </w:tc>
      </w:tr>
    </w:tbl>
    <w:p>
      <w:pPr>
        <w:spacing w:after="0" w:before="120"/>
      </w:pPr>
      <w:r>
        <w:t xml:space="preserve"/>
      </w:r>
    </w:p>
    <w:p>
      <w:pPr>
        <w:pStyle w:val="Heading3"/>
        <w:spacing w:after="120" w:before="280"/>
      </w:pPr>
      <w:r>
        <w:rPr>
          <w:rFonts w:ascii="Arial" w:cs="Arial" w:eastAsia="Arial" w:hAnsi="Arial"/>
          <w:b/>
          <w:bCs/>
          <w:color w:val="7B2FFF"/>
          <w:sz w:val="26"/>
          <w:szCs w:val="26"/>
        </w:rPr>
        <w:t xml:space="preserve">Frontend Stack</w:t>
      </w:r>
    </w:p>
    <w:p>
      <w:pPr>
        <w:pStyle w:val="ListParagraph"/>
        <w:numPr>
          <w:ilvl w:val="0"/>
          <w:numId w:val="2"/>
        </w:numPr>
        <w:spacing w:after="60" w:before="60"/>
      </w:pPr>
      <w:r>
        <w:rPr>
          <w:rFonts w:ascii="Arial" w:cs="Arial" w:eastAsia="Arial" w:hAnsi="Arial"/>
          <w:color w:val="1A202C"/>
          <w:sz w:val="22"/>
          <w:szCs w:val="22"/>
        </w:rPr>
        <w:t xml:space="preserve">Next.js 15 (App Router) — SSR/SSG for SEO + client interactivity</w:t>
      </w:r>
    </w:p>
    <w:p>
      <w:pPr>
        <w:pStyle w:val="ListParagraph"/>
        <w:numPr>
          <w:ilvl w:val="0"/>
          <w:numId w:val="2"/>
        </w:numPr>
        <w:spacing w:after="60" w:before="60"/>
      </w:pPr>
      <w:r>
        <w:rPr>
          <w:rFonts w:ascii="Arial" w:cs="Arial" w:eastAsia="Arial" w:hAnsi="Arial"/>
          <w:color w:val="1A202C"/>
          <w:sz w:val="22"/>
          <w:szCs w:val="22"/>
        </w:rPr>
        <w:t xml:space="preserve">TypeScript throughout — strict mode, no exceptions</w:t>
      </w:r>
    </w:p>
    <w:p>
      <w:pPr>
        <w:pStyle w:val="ListParagraph"/>
        <w:numPr>
          <w:ilvl w:val="0"/>
          <w:numId w:val="2"/>
        </w:numPr>
        <w:spacing w:after="60" w:before="60"/>
      </w:pPr>
      <w:r>
        <w:rPr>
          <w:rFonts w:ascii="Arial" w:cs="Arial" w:eastAsia="Arial" w:hAnsi="Arial"/>
          <w:color w:val="1A202C"/>
          <w:sz w:val="22"/>
          <w:szCs w:val="22"/>
        </w:rPr>
        <w:t xml:space="preserve">Tailwind CSS + Radix UI primitives — design system built on accessible components</w:t>
      </w:r>
    </w:p>
    <w:p>
      <w:pPr>
        <w:pStyle w:val="ListParagraph"/>
        <w:numPr>
          <w:ilvl w:val="0"/>
          <w:numId w:val="2"/>
        </w:numPr>
        <w:spacing w:after="60" w:before="60"/>
      </w:pPr>
      <w:r>
        <w:rPr>
          <w:rFonts w:ascii="Arial" w:cs="Arial" w:eastAsia="Arial" w:hAnsi="Arial"/>
          <w:color w:val="1A202C"/>
          <w:sz w:val="22"/>
          <w:szCs w:val="22"/>
        </w:rPr>
        <w:t xml:space="preserve">Framer Motion — interaction animations</w:t>
      </w:r>
    </w:p>
    <w:p>
      <w:pPr>
        <w:pStyle w:val="ListParagraph"/>
        <w:numPr>
          <w:ilvl w:val="0"/>
          <w:numId w:val="2"/>
        </w:numPr>
        <w:spacing w:after="60" w:before="60"/>
      </w:pPr>
      <w:r>
        <w:rPr>
          <w:rFonts w:ascii="Arial" w:cs="Arial" w:eastAsia="Arial" w:hAnsi="Arial"/>
          <w:color w:val="1A202C"/>
          <w:sz w:val="22"/>
          <w:szCs w:val="22"/>
        </w:rPr>
        <w:t xml:space="preserve">Zustand — client state management</w:t>
      </w:r>
    </w:p>
    <w:p>
      <w:pPr>
        <w:pStyle w:val="ListParagraph"/>
        <w:numPr>
          <w:ilvl w:val="0"/>
          <w:numId w:val="2"/>
        </w:numPr>
        <w:spacing w:after="60" w:before="60"/>
      </w:pPr>
      <w:r>
        <w:rPr>
          <w:rFonts w:ascii="Arial" w:cs="Arial" w:eastAsia="Arial" w:hAnsi="Arial"/>
          <w:color w:val="1A202C"/>
          <w:sz w:val="22"/>
          <w:szCs w:val="22"/>
        </w:rPr>
        <w:t xml:space="preserve">TanStack Query — server state + caching</w:t>
      </w:r>
    </w:p>
    <w:p>
      <w:pPr>
        <w:pStyle w:val="ListParagraph"/>
        <w:numPr>
          <w:ilvl w:val="0"/>
          <w:numId w:val="2"/>
        </w:numPr>
        <w:spacing w:after="60" w:before="60"/>
      </w:pPr>
      <w:r>
        <w:rPr>
          <w:rFonts w:ascii="Arial" w:cs="Arial" w:eastAsia="Arial" w:hAnsi="Arial"/>
          <w:color w:val="1A202C"/>
          <w:sz w:val="22"/>
          <w:szCs w:val="22"/>
        </w:rPr>
        <w:t xml:space="preserve">Vercel deployment — edge CDN, automatic preview deployments</w:t>
      </w:r>
    </w:p>
    <w:p>
      <w:pPr>
        <w:spacing w:after="0" w:before="120"/>
      </w:pPr>
      <w:r>
        <w:t xml:space="preserve"/>
      </w:r>
    </w:p>
    <w:p>
      <w:pPr>
        <w:pStyle w:val="Heading3"/>
        <w:spacing w:after="120" w:before="280"/>
      </w:pPr>
      <w:r>
        <w:rPr>
          <w:rFonts w:ascii="Arial" w:cs="Arial" w:eastAsia="Arial" w:hAnsi="Arial"/>
          <w:b/>
          <w:bCs/>
          <w:color w:val="7B2FFF"/>
          <w:sz w:val="26"/>
          <w:szCs w:val="26"/>
        </w:rPr>
        <w:t xml:space="preserve">Backend Stack</w:t>
      </w:r>
    </w:p>
    <w:p>
      <w:pPr>
        <w:pStyle w:val="ListParagraph"/>
        <w:numPr>
          <w:ilvl w:val="0"/>
          <w:numId w:val="2"/>
        </w:numPr>
        <w:spacing w:after="60" w:before="60"/>
      </w:pPr>
      <w:r>
        <w:rPr>
          <w:rFonts w:ascii="Arial" w:cs="Arial" w:eastAsia="Arial" w:hAnsi="Arial"/>
          <w:color w:val="1A202C"/>
          <w:sz w:val="22"/>
          <w:szCs w:val="22"/>
        </w:rPr>
        <w:t xml:space="preserve">Node.js + Fastify — primary API layer (high performance, TypeScript-native)</w:t>
      </w:r>
    </w:p>
    <w:p>
      <w:pPr>
        <w:pStyle w:val="ListParagraph"/>
        <w:numPr>
          <w:ilvl w:val="0"/>
          <w:numId w:val="2"/>
        </w:numPr>
        <w:spacing w:after="60" w:before="60"/>
      </w:pPr>
      <w:r>
        <w:rPr>
          <w:rFonts w:ascii="Arial" w:cs="Arial" w:eastAsia="Arial" w:hAnsi="Arial"/>
          <w:color w:val="1A202C"/>
          <w:sz w:val="22"/>
          <w:szCs w:val="22"/>
        </w:rPr>
        <w:t xml:space="preserve">Python FastAPI — ML/AI inference services and data pipeline workers</w:t>
      </w:r>
    </w:p>
    <w:p>
      <w:pPr>
        <w:pStyle w:val="ListParagraph"/>
        <w:numPr>
          <w:ilvl w:val="0"/>
          <w:numId w:val="2"/>
        </w:numPr>
        <w:spacing w:after="60" w:before="60"/>
      </w:pPr>
      <w:r>
        <w:rPr>
          <w:rFonts w:ascii="Arial" w:cs="Arial" w:eastAsia="Arial" w:hAnsi="Arial"/>
          <w:color w:val="1A202C"/>
          <w:sz w:val="22"/>
          <w:szCs w:val="22"/>
        </w:rPr>
        <w:t xml:space="preserve">PostgreSQL (Supabase) — primary relational datastore</w:t>
      </w:r>
    </w:p>
    <w:p>
      <w:pPr>
        <w:pStyle w:val="ListParagraph"/>
        <w:numPr>
          <w:ilvl w:val="0"/>
          <w:numId w:val="2"/>
        </w:numPr>
        <w:spacing w:after="60" w:before="60"/>
      </w:pPr>
      <w:r>
        <w:rPr>
          <w:rFonts w:ascii="Arial" w:cs="Arial" w:eastAsia="Arial" w:hAnsi="Arial"/>
          <w:color w:val="1A202C"/>
          <w:sz w:val="22"/>
          <w:szCs w:val="22"/>
        </w:rPr>
        <w:t xml:space="preserve">Redis — session management, rate limiting, hot data caching</w:t>
      </w:r>
    </w:p>
    <w:p>
      <w:pPr>
        <w:pStyle w:val="ListParagraph"/>
        <w:numPr>
          <w:ilvl w:val="0"/>
          <w:numId w:val="2"/>
        </w:numPr>
        <w:spacing w:after="60" w:before="60"/>
      </w:pPr>
      <w:r>
        <w:rPr>
          <w:rFonts w:ascii="Arial" w:cs="Arial" w:eastAsia="Arial" w:hAnsi="Arial"/>
          <w:color w:val="1A202C"/>
          <w:sz w:val="22"/>
          <w:szCs w:val="22"/>
        </w:rPr>
        <w:t xml:space="preserve">Elasticsearch — full-text search across robots, reviews, marketplace listings</w:t>
      </w:r>
    </w:p>
    <w:p>
      <w:pPr>
        <w:pStyle w:val="ListParagraph"/>
        <w:numPr>
          <w:ilvl w:val="0"/>
          <w:numId w:val="2"/>
        </w:numPr>
        <w:spacing w:after="60" w:before="60"/>
      </w:pPr>
      <w:r>
        <w:rPr>
          <w:rFonts w:ascii="Arial" w:cs="Arial" w:eastAsia="Arial" w:hAnsi="Arial"/>
          <w:color w:val="1A202C"/>
          <w:sz w:val="22"/>
          <w:szCs w:val="22"/>
        </w:rPr>
        <w:t xml:space="preserve">Pinecone — vector embeddings for semantic search and recommendation</w:t>
      </w:r>
    </w:p>
    <w:p>
      <w:pPr>
        <w:pStyle w:val="ListParagraph"/>
        <w:numPr>
          <w:ilvl w:val="0"/>
          <w:numId w:val="2"/>
        </w:numPr>
        <w:spacing w:after="60" w:before="60"/>
      </w:pPr>
      <w:r>
        <w:rPr>
          <w:rFonts w:ascii="Arial" w:cs="Arial" w:eastAsia="Arial" w:hAnsi="Arial"/>
          <w:color w:val="1A202C"/>
          <w:sz w:val="22"/>
          <w:szCs w:val="22"/>
        </w:rPr>
        <w:t xml:space="preserve">S3-compatible storage (Cloudflare R2) — media, documents, exports</w:t>
      </w:r>
    </w:p>
    <w:p>
      <w:pPr>
        <w:spacing w:after="0" w:before="120"/>
      </w:pPr>
      <w:r>
        <w:t xml:space="preserve"/>
      </w:r>
    </w:p>
    <w:p>
      <w:pPr>
        <w:pStyle w:val="Heading3"/>
        <w:spacing w:after="120" w:before="280"/>
      </w:pPr>
      <w:r>
        <w:rPr>
          <w:rFonts w:ascii="Arial" w:cs="Arial" w:eastAsia="Arial" w:hAnsi="Arial"/>
          <w:b/>
          <w:bCs/>
          <w:color w:val="7B2FFF"/>
          <w:sz w:val="26"/>
          <w:szCs w:val="26"/>
        </w:rPr>
        <w:t xml:space="preserve">AI &amp; ML Stack</w:t>
      </w:r>
    </w:p>
    <w:p>
      <w:pPr>
        <w:pStyle w:val="ListParagraph"/>
        <w:numPr>
          <w:ilvl w:val="0"/>
          <w:numId w:val="2"/>
        </w:numPr>
        <w:spacing w:after="60" w:before="60"/>
      </w:pPr>
      <w:r>
        <w:rPr>
          <w:rFonts w:ascii="Arial" w:cs="Arial" w:eastAsia="Arial" w:hAnsi="Arial"/>
          <w:color w:val="1A202C"/>
          <w:sz w:val="22"/>
          <w:szCs w:val="22"/>
        </w:rPr>
        <w:t xml:space="preserve">Claude claude-sonnet-4-20250514 — primary advisory AI, review summarization, product intelligence</w:t>
      </w:r>
    </w:p>
    <w:p>
      <w:pPr>
        <w:pStyle w:val="ListParagraph"/>
        <w:numPr>
          <w:ilvl w:val="0"/>
          <w:numId w:val="2"/>
        </w:numPr>
        <w:spacing w:after="60" w:before="60"/>
      </w:pPr>
      <w:r>
        <w:rPr>
          <w:rFonts w:ascii="Arial" w:cs="Arial" w:eastAsia="Arial" w:hAnsi="Arial"/>
          <w:color w:val="1A202C"/>
          <w:sz w:val="22"/>
          <w:szCs w:val="22"/>
        </w:rPr>
        <w:t xml:space="preserve">Claude claude-opus-4-20250514 — complex multi-step analysis, enterprise report generation</w:t>
      </w:r>
    </w:p>
    <w:p>
      <w:pPr>
        <w:pStyle w:val="ListParagraph"/>
        <w:numPr>
          <w:ilvl w:val="0"/>
          <w:numId w:val="2"/>
        </w:numPr>
        <w:spacing w:after="60" w:before="60"/>
      </w:pPr>
      <w:r>
        <w:rPr>
          <w:rFonts w:ascii="Arial" w:cs="Arial" w:eastAsia="Arial" w:hAnsi="Arial"/>
          <w:color w:val="1A202C"/>
          <w:sz w:val="22"/>
          <w:szCs w:val="22"/>
        </w:rPr>
        <w:t xml:space="preserve">Claude claude-haiku-4-20250514 — high-volume, low-latency tasks (search suggestions, quick answers)</w:t>
      </w:r>
    </w:p>
    <w:p>
      <w:pPr>
        <w:pStyle w:val="ListParagraph"/>
        <w:numPr>
          <w:ilvl w:val="0"/>
          <w:numId w:val="2"/>
        </w:numPr>
        <w:spacing w:after="60" w:before="60"/>
      </w:pPr>
      <w:r>
        <w:rPr>
          <w:rFonts w:ascii="Arial" w:cs="Arial" w:eastAsia="Arial" w:hAnsi="Arial"/>
          <w:color w:val="1A202C"/>
          <w:sz w:val="22"/>
          <w:szCs w:val="22"/>
        </w:rPr>
        <w:t xml:space="preserve">Custom fine-tuned models — robotics entity extraction, spec normalization, condition grading</w:t>
      </w:r>
    </w:p>
    <w:p>
      <w:pPr>
        <w:pStyle w:val="ListParagraph"/>
        <w:numPr>
          <w:ilvl w:val="0"/>
          <w:numId w:val="2"/>
        </w:numPr>
        <w:spacing w:after="60" w:before="60"/>
      </w:pPr>
      <w:r>
        <w:rPr>
          <w:rFonts w:ascii="Arial" w:cs="Arial" w:eastAsia="Arial" w:hAnsi="Arial"/>
          <w:color w:val="1A202C"/>
          <w:sz w:val="22"/>
          <w:szCs w:val="22"/>
        </w:rPr>
        <w:t xml:space="preserve">CLIP/multimodal embeddings — robot photo analysis, condition assessment from images</w:t>
      </w:r>
    </w:p>
    <w:p>
      <w:pPr>
        <w:pStyle w:val="ListParagraph"/>
        <w:numPr>
          <w:ilvl w:val="0"/>
          <w:numId w:val="2"/>
        </w:numPr>
        <w:spacing w:after="60" w:before="60"/>
      </w:pPr>
      <w:r>
        <w:rPr>
          <w:rFonts w:ascii="Arial" w:cs="Arial" w:eastAsia="Arial" w:hAnsi="Arial"/>
          <w:color w:val="1A202C"/>
          <w:sz w:val="22"/>
          <w:szCs w:val="22"/>
        </w:rPr>
        <w:t xml:space="preserve">LangGraph / Claude Tool Use — agentic workflows for complex research and advisor tasks</w:t>
      </w:r>
    </w:p>
    <w:p>
      <w:pPr>
        <w:spacing w:after="0" w:before="120"/>
      </w:pPr>
      <w:r>
        <w:t xml:space="preserve"/>
      </w:r>
    </w:p>
    <w:p>
      <w:pPr>
        <w:pStyle w:val="Heading3"/>
        <w:spacing w:after="120" w:before="280"/>
      </w:pPr>
      <w:r>
        <w:rPr>
          <w:rFonts w:ascii="Arial" w:cs="Arial" w:eastAsia="Arial" w:hAnsi="Arial"/>
          <w:b/>
          <w:bCs/>
          <w:color w:val="7B2FFF"/>
          <w:sz w:val="26"/>
          <w:szCs w:val="26"/>
        </w:rPr>
        <w:t xml:space="preserve">Data Pipeline</w:t>
      </w:r>
    </w:p>
    <w:p>
      <w:pPr>
        <w:pStyle w:val="ListParagraph"/>
        <w:numPr>
          <w:ilvl w:val="0"/>
          <w:numId w:val="2"/>
        </w:numPr>
        <w:spacing w:after="60" w:before="60"/>
      </w:pPr>
      <w:r>
        <w:rPr>
          <w:rFonts w:ascii="Arial" w:cs="Arial" w:eastAsia="Arial" w:hAnsi="Arial"/>
          <w:color w:val="1A202C"/>
          <w:sz w:val="22"/>
          <w:szCs w:val="22"/>
        </w:rPr>
        <w:t xml:space="preserve">Web scrapers (Playwright + Crawlee) — price monitoring, spec harvesting from 300+ sources</w:t>
      </w:r>
    </w:p>
    <w:p>
      <w:pPr>
        <w:pStyle w:val="ListParagraph"/>
        <w:numPr>
          <w:ilvl w:val="0"/>
          <w:numId w:val="2"/>
        </w:numPr>
        <w:spacing w:after="60" w:before="60"/>
      </w:pPr>
      <w:r>
        <w:rPr>
          <w:rFonts w:ascii="Arial" w:cs="Arial" w:eastAsia="Arial" w:hAnsi="Arial"/>
          <w:color w:val="1A202C"/>
          <w:sz w:val="22"/>
          <w:szCs w:val="22"/>
        </w:rPr>
        <w:t xml:space="preserve">Structured data ingestion API — manufacturer data partnerships</w:t>
      </w:r>
    </w:p>
    <w:p>
      <w:pPr>
        <w:pStyle w:val="ListParagraph"/>
        <w:numPr>
          <w:ilvl w:val="0"/>
          <w:numId w:val="2"/>
        </w:numPr>
        <w:spacing w:after="60" w:before="60"/>
      </w:pPr>
      <w:r>
        <w:rPr>
          <w:rFonts w:ascii="Arial" w:cs="Arial" w:eastAsia="Arial" w:hAnsi="Arial"/>
          <w:color w:val="1A202C"/>
          <w:sz w:val="22"/>
          <w:szCs w:val="22"/>
        </w:rPr>
        <w:t xml:space="preserve">Review ETL — import and normalize reviews from Amazon, Best Buy, Google, manufacturer sites</w:t>
      </w:r>
    </w:p>
    <w:p>
      <w:pPr>
        <w:pStyle w:val="ListParagraph"/>
        <w:numPr>
          <w:ilvl w:val="0"/>
          <w:numId w:val="2"/>
        </w:numPr>
        <w:spacing w:after="60" w:before="60"/>
      </w:pPr>
      <w:r>
        <w:rPr>
          <w:rFonts w:ascii="Arial" w:cs="Arial" w:eastAsia="Arial" w:hAnsi="Arial"/>
          <w:color w:val="1A202C"/>
          <w:sz w:val="22"/>
          <w:szCs w:val="22"/>
        </w:rPr>
        <w:t xml:space="preserve">Kafka — real-time event streaming for marketplace, pricing, and behavioral data</w:t>
      </w:r>
    </w:p>
    <w:p>
      <w:pPr>
        <w:pStyle w:val="ListParagraph"/>
        <w:numPr>
          <w:ilvl w:val="0"/>
          <w:numId w:val="2"/>
        </w:numPr>
        <w:spacing w:after="60" w:before="60"/>
      </w:pPr>
      <w:r>
        <w:rPr>
          <w:rFonts w:ascii="Arial" w:cs="Arial" w:eastAsia="Arial" w:hAnsi="Arial"/>
          <w:color w:val="1A202C"/>
          <w:sz w:val="22"/>
          <w:szCs w:val="22"/>
        </w:rPr>
        <w:t xml:space="preserve">dbt + Snowflake — analytics data warehouse and transformation layer</w:t>
      </w:r>
    </w:p>
    <w:p>
      <w:pPr>
        <w:pStyle w:val="ListParagraph"/>
        <w:numPr>
          <w:ilvl w:val="0"/>
          <w:numId w:val="2"/>
        </w:numPr>
        <w:spacing w:after="60" w:before="60"/>
      </w:pPr>
      <w:r>
        <w:rPr>
          <w:rFonts w:ascii="Arial" w:cs="Arial" w:eastAsia="Arial" w:hAnsi="Arial"/>
          <w:color w:val="1A202C"/>
          <w:sz w:val="22"/>
          <w:szCs w:val="22"/>
        </w:rPr>
        <w:t xml:space="preserve">Metabase — internal analytics and business intelligence dashboards</w:t>
      </w:r>
    </w:p>
    <w:p>
      <w:pPr>
        <w:spacing w:after="0" w:before="120"/>
      </w:pPr>
      <w:r>
        <w:t xml:space="preserve"/>
      </w:r>
    </w:p>
    <w:p>
      <w:pPr>
        <w:pStyle w:val="Heading3"/>
        <w:spacing w:after="120" w:before="280"/>
      </w:pPr>
      <w:r>
        <w:rPr>
          <w:rFonts w:ascii="Arial" w:cs="Arial" w:eastAsia="Arial" w:hAnsi="Arial"/>
          <w:b/>
          <w:bCs/>
          <w:color w:val="7B2FFF"/>
          <w:sz w:val="26"/>
          <w:szCs w:val="26"/>
        </w:rPr>
        <w:t xml:space="preserve">Infrastructure &amp; DevOps</w:t>
      </w:r>
    </w:p>
    <w:p>
      <w:pPr>
        <w:pStyle w:val="ListParagraph"/>
        <w:numPr>
          <w:ilvl w:val="0"/>
          <w:numId w:val="2"/>
        </w:numPr>
        <w:spacing w:after="60" w:before="60"/>
      </w:pPr>
      <w:r>
        <w:rPr>
          <w:rFonts w:ascii="Arial" w:cs="Arial" w:eastAsia="Arial" w:hAnsi="Arial"/>
          <w:color w:val="1A202C"/>
          <w:sz w:val="22"/>
          <w:szCs w:val="22"/>
        </w:rPr>
        <w:t xml:space="preserve">AWS (primary cloud) — EKS for containerized services, RDS, ElastiCache</w:t>
      </w:r>
    </w:p>
    <w:p>
      <w:pPr>
        <w:pStyle w:val="ListParagraph"/>
        <w:numPr>
          <w:ilvl w:val="0"/>
          <w:numId w:val="2"/>
        </w:numPr>
        <w:spacing w:after="60" w:before="60"/>
      </w:pPr>
      <w:r>
        <w:rPr>
          <w:rFonts w:ascii="Arial" w:cs="Arial" w:eastAsia="Arial" w:hAnsi="Arial"/>
          <w:color w:val="1A202C"/>
          <w:sz w:val="22"/>
          <w:szCs w:val="22"/>
        </w:rPr>
        <w:t xml:space="preserve">Terraform — infrastructure as code, all environments reproducible</w:t>
      </w:r>
    </w:p>
    <w:p>
      <w:pPr>
        <w:pStyle w:val="ListParagraph"/>
        <w:numPr>
          <w:ilvl w:val="0"/>
          <w:numId w:val="2"/>
        </w:numPr>
        <w:spacing w:after="60" w:before="60"/>
      </w:pPr>
      <w:r>
        <w:rPr>
          <w:rFonts w:ascii="Arial" w:cs="Arial" w:eastAsia="Arial" w:hAnsi="Arial"/>
          <w:color w:val="1A202C"/>
          <w:sz w:val="22"/>
          <w:szCs w:val="22"/>
        </w:rPr>
        <w:t xml:space="preserve">GitHub Actions — CI/CD pipelines, automated testing, deployment gates</w:t>
      </w:r>
    </w:p>
    <w:p>
      <w:pPr>
        <w:pStyle w:val="ListParagraph"/>
        <w:numPr>
          <w:ilvl w:val="0"/>
          <w:numId w:val="2"/>
        </w:numPr>
        <w:spacing w:after="60" w:before="60"/>
      </w:pPr>
      <w:r>
        <w:rPr>
          <w:rFonts w:ascii="Arial" w:cs="Arial" w:eastAsia="Arial" w:hAnsi="Arial"/>
          <w:color w:val="1A202C"/>
          <w:sz w:val="22"/>
          <w:szCs w:val="22"/>
        </w:rPr>
        <w:t xml:space="preserve">Datadog — APM, infrastructure monitoring, alerting</w:t>
      </w:r>
    </w:p>
    <w:p>
      <w:pPr>
        <w:pStyle w:val="ListParagraph"/>
        <w:numPr>
          <w:ilvl w:val="0"/>
          <w:numId w:val="2"/>
        </w:numPr>
        <w:spacing w:after="60" w:before="60"/>
      </w:pPr>
      <w:r>
        <w:rPr>
          <w:rFonts w:ascii="Arial" w:cs="Arial" w:eastAsia="Arial" w:hAnsi="Arial"/>
          <w:color w:val="1A202C"/>
          <w:sz w:val="22"/>
          <w:szCs w:val="22"/>
        </w:rPr>
        <w:t xml:space="preserve">Sentry — error tracking and performance monitoring</w:t>
      </w:r>
    </w:p>
    <w:p>
      <w:pPr>
        <w:pStyle w:val="ListParagraph"/>
        <w:numPr>
          <w:ilvl w:val="0"/>
          <w:numId w:val="2"/>
        </w:numPr>
        <w:spacing w:after="60" w:before="60"/>
      </w:pPr>
      <w:r>
        <w:rPr>
          <w:rFonts w:ascii="Arial" w:cs="Arial" w:eastAsia="Arial" w:hAnsi="Arial"/>
          <w:color w:val="1A202C"/>
          <w:sz w:val="22"/>
          <w:szCs w:val="22"/>
        </w:rPr>
        <w:t xml:space="preserve">PagerDuty — on-call rotation and incident management</w:t>
      </w:r>
    </w:p>
    <w:p>
      <w:pPr>
        <w:pStyle w:val="ListParagraph"/>
        <w:numPr>
          <w:ilvl w:val="0"/>
          <w:numId w:val="2"/>
        </w:numPr>
        <w:spacing w:after="60" w:before="60"/>
      </w:pPr>
      <w:r>
        <w:rPr>
          <w:rFonts w:ascii="Arial" w:cs="Arial" w:eastAsia="Arial" w:hAnsi="Arial"/>
          <w:color w:val="1A202C"/>
          <w:sz w:val="22"/>
          <w:szCs w:val="22"/>
        </w:rPr>
        <w:t xml:space="preserve">99.95% uptime SLA for all customer-facing services</w:t>
      </w:r>
    </w:p>
    <w:p>
      <w:pPr>
        <w:spacing w:after="0" w:before="120"/>
      </w:pPr>
      <w:r>
        <w:t xml:space="preserve"/>
      </w:r>
    </w:p>
    <w:p>
      <w:pPr>
        <w:pStyle w:val="Heading3"/>
        <w:spacing w:after="120" w:before="280"/>
      </w:pPr>
      <w:r>
        <w:rPr>
          <w:rFonts w:ascii="Arial" w:cs="Arial" w:eastAsia="Arial" w:hAnsi="Arial"/>
          <w:b/>
          <w:bCs/>
          <w:color w:val="7B2FFF"/>
          <w:sz w:val="26"/>
          <w:szCs w:val="26"/>
        </w:rPr>
        <w:t xml:space="preserve">Security &amp; Compliance</w:t>
      </w:r>
    </w:p>
    <w:p>
      <w:pPr>
        <w:pStyle w:val="ListParagraph"/>
        <w:numPr>
          <w:ilvl w:val="0"/>
          <w:numId w:val="2"/>
        </w:numPr>
        <w:spacing w:after="60" w:before="60"/>
      </w:pPr>
      <w:r>
        <w:rPr>
          <w:rFonts w:ascii="Arial" w:cs="Arial" w:eastAsia="Arial" w:hAnsi="Arial"/>
          <w:color w:val="1A202C"/>
          <w:sz w:val="22"/>
          <w:szCs w:val="22"/>
        </w:rPr>
        <w:t xml:space="preserve">SOC 2 Type II certification — target Month 12</w:t>
      </w:r>
    </w:p>
    <w:p>
      <w:pPr>
        <w:pStyle w:val="ListParagraph"/>
        <w:numPr>
          <w:ilvl w:val="0"/>
          <w:numId w:val="2"/>
        </w:numPr>
        <w:spacing w:after="60" w:before="60"/>
      </w:pPr>
      <w:r>
        <w:rPr>
          <w:rFonts w:ascii="Arial" w:cs="Arial" w:eastAsia="Arial" w:hAnsi="Arial"/>
          <w:color w:val="1A202C"/>
          <w:sz w:val="22"/>
          <w:szCs w:val="22"/>
        </w:rPr>
        <w:t xml:space="preserve">GDPR and CCPA compliance — data residency controls, right to erasure</w:t>
      </w:r>
    </w:p>
    <w:p>
      <w:pPr>
        <w:pStyle w:val="ListParagraph"/>
        <w:numPr>
          <w:ilvl w:val="0"/>
          <w:numId w:val="2"/>
        </w:numPr>
        <w:spacing w:after="60" w:before="60"/>
      </w:pPr>
      <w:r>
        <w:rPr>
          <w:rFonts w:ascii="Arial" w:cs="Arial" w:eastAsia="Arial" w:hAnsi="Arial"/>
          <w:color w:val="1A202C"/>
          <w:sz w:val="22"/>
          <w:szCs w:val="22"/>
        </w:rPr>
        <w:t xml:space="preserve">PCI DSS Level 1 — for marketplace payment processing</w:t>
      </w:r>
    </w:p>
    <w:p>
      <w:pPr>
        <w:pStyle w:val="ListParagraph"/>
        <w:numPr>
          <w:ilvl w:val="0"/>
          <w:numId w:val="2"/>
        </w:numPr>
        <w:spacing w:after="60" w:before="60"/>
      </w:pPr>
      <w:r>
        <w:rPr>
          <w:rFonts w:ascii="Arial" w:cs="Arial" w:eastAsia="Arial" w:hAnsi="Arial"/>
          <w:color w:val="1A202C"/>
          <w:sz w:val="22"/>
          <w:szCs w:val="22"/>
        </w:rPr>
        <w:t xml:space="preserve">Pen testing — quarterly third-party security assessments</w:t>
      </w:r>
    </w:p>
    <w:p>
      <w:pPr>
        <w:pStyle w:val="ListParagraph"/>
        <w:numPr>
          <w:ilvl w:val="0"/>
          <w:numId w:val="2"/>
        </w:numPr>
        <w:spacing w:after="60" w:before="60"/>
      </w:pPr>
      <w:r>
        <w:rPr>
          <w:rFonts w:ascii="Arial" w:cs="Arial" w:eastAsia="Arial" w:hAnsi="Arial"/>
          <w:color w:val="1A202C"/>
          <w:sz w:val="22"/>
          <w:szCs w:val="22"/>
        </w:rPr>
        <w:t xml:space="preserve">Zero-trust networking — all internal services require mTLS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0A0F1E" w:val="clear"/>
            <w:tcMar>
              <w:top w:type="dxa" w:w="120"/>
              <w:left w:type="dxa" w:w="160"/>
              <w:bottom w:type="dxa" w:w="120"/>
              <w:right w:type="dxa" w:w="160"/>
            </w:tcMar>
            <w:vAlign w:val="center"/>
          </w:tcPr>
          <w:p>
            <w:pPr>
              <w:jc w:val="center"/>
            </w:pPr>
            <w:r>
              <w:rPr>
                <w:rFonts w:ascii="Arial" w:cs="Arial" w:eastAsia="Arial" w:hAnsi="Arial"/>
                <w:b/>
                <w:bCs/>
                <w:color w:val="00C2FF"/>
                <w:sz w:val="28"/>
                <w:szCs w:val="28"/>
              </w:rPr>
              <w:t xml:space="preserve">05</w:t>
            </w:r>
          </w:p>
        </w:tc>
        <w:tc>
          <w:tcPr>
            <w:tcW w:type="dxa" w:w="8560"/>
            <w:tcBorders>
              <w:top w:val="none" w:color="FFFFFF" w:sz="0"/>
              <w:left w:val="none" w:color="FFFFFF" w:sz="0"/>
              <w:bottom w:val="none" w:color="FFFFFF" w:sz="0"/>
              <w:right w:val="none" w:color="FFFFFF" w:sz="0"/>
            </w:tcBorders>
            <w:shd w:fill="F4F6FB" w:val="clear"/>
            <w:tcMar>
              <w:top w:type="dxa" w:w="120"/>
              <w:left w:type="dxa" w:w="200"/>
              <w:bottom w:type="dxa" w:w="120"/>
              <w:right w:type="dxa" w:w="160"/>
            </w:tcMar>
            <w:vAlign w:val="center"/>
          </w:tcPr>
          <w:p>
            <w:r>
              <w:rPr>
                <w:rFonts w:ascii="Arial" w:cs="Arial" w:eastAsia="Arial" w:hAnsi="Arial"/>
                <w:b/>
                <w:bCs/>
                <w:color w:val="0A0F1E"/>
                <w:spacing w:val="40"/>
                <w:sz w:val="28"/>
                <w:szCs w:val="28"/>
              </w:rPr>
              <w:t xml:space="preserve">FEATURE ROADMAP &amp; PRIORITIZATION</w:t>
            </w:r>
          </w:p>
        </w:tc>
      </w:tr>
    </w:tbl>
    <w:p>
      <w:pPr>
        <w:spacing w:after="0" w:before="120"/>
      </w:pPr>
      <w:r>
        <w:t xml:space="preserve"/>
      </w:r>
    </w:p>
    <w:p>
      <w:pPr>
        <w:pStyle w:val="Heading2"/>
        <w:spacing w:after="160" w:before="360"/>
      </w:pPr>
      <w:r>
        <w:rPr>
          <w:rFonts w:ascii="Arial" w:cs="Arial" w:eastAsia="Arial" w:hAnsi="Arial"/>
          <w:b/>
          <w:bCs/>
          <w:color w:val="0A0F1E"/>
          <w:sz w:val="30"/>
          <w:szCs w:val="30"/>
        </w:rPr>
        <w:t xml:space="preserve">Phase 1 — Foundation (Months 1-6): Build the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260"/>
        <w:gridCol w:w="1100"/>
        <w:gridCol w:w="1500"/>
      </w:tblGrid>
      <w:tr>
        <w:trPr>
          <w:tblHeader/>
        </w:trPr>
        <w:tc>
          <w:tcPr>
            <w:tcW w:type="dxa" w:w="2500"/>
            <w:tcBorders>
              <w:top w:val="single" w:color="E2E8F0" w:sz="1"/>
              <w:left w:val="single" w:color="E2E8F0" w:sz="1"/>
              <w:bottom w:val="single" w:color="E2E8F0" w:sz="1"/>
              <w:right w:val="single" w:color="E2E8F0" w:sz="1"/>
            </w:tcBorders>
            <w:shd w:fill="0A0F1E" w:val="clear"/>
            <w:tcMar>
              <w:top w:type="dxa" w:w="80"/>
              <w:left w:type="dxa" w:w="160"/>
              <w:bottom w:type="dxa" w:w="80"/>
              <w:right w:type="dxa" w:w="80"/>
            </w:tcMar>
          </w:tcPr>
          <w:p>
            <w:r>
              <w:rPr>
                <w:rFonts w:ascii="Arial" w:cs="Arial" w:eastAsia="Arial" w:hAnsi="Arial"/>
                <w:b/>
                <w:bCs/>
                <w:color w:val="FFFFFF"/>
                <w:sz w:val="20"/>
                <w:szCs w:val="20"/>
              </w:rPr>
              <w:t xml:space="preserve">Feature</w:t>
            </w:r>
          </w:p>
        </w:tc>
        <w:tc>
          <w:tcPr>
            <w:tcW w:type="dxa" w:w="4260"/>
            <w:tcBorders>
              <w:top w:val="single" w:color="E2E8F0" w:sz="1"/>
              <w:left w:val="single" w:color="E2E8F0" w:sz="1"/>
              <w:bottom w:val="single" w:color="E2E8F0" w:sz="1"/>
              <w:right w:val="single" w:color="E2E8F0" w:sz="1"/>
            </w:tcBorders>
            <w:shd w:fill="0A0F1E" w:val="clear"/>
            <w:tcMar>
              <w:top w:type="dxa" w:w="80"/>
              <w:left w:type="dxa" w:w="120"/>
              <w:bottom w:type="dxa" w:w="80"/>
              <w:right w:type="dxa" w:w="80"/>
            </w:tcMar>
          </w:tcPr>
          <w:p>
            <w:r>
              <w:rPr>
                <w:rFonts w:ascii="Arial" w:cs="Arial" w:eastAsia="Arial" w:hAnsi="Arial"/>
                <w:b/>
                <w:bCs/>
                <w:color w:val="FFFFFF"/>
                <w:sz w:val="20"/>
                <w:szCs w:val="20"/>
              </w:rPr>
              <w:t xml:space="preserve">Description</w:t>
            </w:r>
          </w:p>
        </w:tc>
        <w:tc>
          <w:tcPr>
            <w:tcW w:type="dxa" w:w="1100"/>
            <w:tcBorders>
              <w:top w:val="single" w:color="E2E8F0" w:sz="1"/>
              <w:left w:val="single" w:color="E2E8F0" w:sz="1"/>
              <w:bottom w:val="single" w:color="E2E8F0" w:sz="1"/>
              <w:right w:val="single" w:color="E2E8F0" w:sz="1"/>
            </w:tcBorders>
            <w:shd w:fill="0A0F1E"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Pri</w:t>
            </w:r>
          </w:p>
        </w:tc>
        <w:tc>
          <w:tcPr>
            <w:tcW w:type="dxa" w:w="1500"/>
            <w:tcBorders>
              <w:top w:val="single" w:color="E2E8F0" w:sz="1"/>
              <w:left w:val="single" w:color="E2E8F0" w:sz="1"/>
              <w:bottom w:val="single" w:color="E2E8F0" w:sz="1"/>
              <w:right w:val="single" w:color="E2E8F0" w:sz="1"/>
            </w:tcBorders>
            <w:shd w:fill="0A0F1E" w:val="clear"/>
            <w:tcMar>
              <w:top w:type="dxa" w:w="80"/>
              <w:left w:type="dxa" w:w="120"/>
              <w:bottom w:type="dxa" w:w="80"/>
              <w:right w:type="dxa" w:w="80"/>
            </w:tcMar>
          </w:tcPr>
          <w:p>
            <w:r>
              <w:rPr>
                <w:rFonts w:ascii="Arial" w:cs="Arial" w:eastAsia="Arial" w:hAnsi="Arial"/>
                <w:b/>
                <w:bCs/>
                <w:color w:val="FFFFFF"/>
                <w:sz w:val="20"/>
                <w:szCs w:val="20"/>
              </w:rPr>
              <w:t xml:space="preserve">Phase</w:t>
            </w:r>
          </w:p>
        </w:tc>
      </w:tr>
      <w:tr>
        <w:trPr>
          <w:tblHeader w:val="false"/>
        </w:trPr>
        <w:tc>
          <w:tcPr>
            <w:tcW w:type="dxa" w:w="25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80"/>
            </w:tcMar>
          </w:tcPr>
          <w:p>
            <w:r>
              <w:rPr>
                <w:rFonts w:ascii="Arial" w:cs="Arial" w:eastAsia="Arial" w:hAnsi="Arial"/>
                <w:b w:val="false"/>
                <w:bCs w:val="false"/>
                <w:color w:val="0A0F1E"/>
                <w:sz w:val="20"/>
                <w:szCs w:val="20"/>
              </w:rPr>
              <w:t xml:space="preserve">Robot Database</w:t>
            </w:r>
          </w:p>
        </w:tc>
        <w:tc>
          <w:tcPr>
            <w:tcW w:type="dxa" w:w="4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20"/>
                <w:szCs w:val="20"/>
              </w:rPr>
              <w:t xml:space="preserve">5,000+ robots with normalized specs, photos, pricing across all categories</w:t>
            </w:r>
          </w:p>
        </w:tc>
        <w:tc>
          <w:tcPr>
            <w:tcW w:type="dxa" w:w="1100"/>
            <w:tcBorders>
              <w:top w:val="single" w:color="E2E8F0" w:sz="1"/>
              <w:left w:val="single" w:color="E2E8F0" w:sz="1"/>
              <w:bottom w:val="single" w:color="E2E8F0" w:sz="1"/>
              <w:right w:val="single" w:color="E2E8F0" w:sz="1"/>
            </w:tcBorders>
            <w:shd w:fill="001A2E" w:val="clear"/>
            <w:tcMar>
              <w:top w:type="dxa" w:w="80"/>
              <w:left w:type="dxa" w:w="120"/>
              <w:bottom w:type="dxa" w:w="80"/>
              <w:right w:type="dxa" w:w="80"/>
            </w:tcMar>
          </w:tcPr>
          <w:p>
            <w:pPr>
              <w:jc w:val="center"/>
            </w:pPr>
            <w:r>
              <w:rPr>
                <w:rFonts w:ascii="Arial" w:cs="Arial" w:eastAsia="Arial" w:hAnsi="Arial"/>
                <w:b/>
                <w:bCs/>
                <w:color w:val="00C2FF"/>
                <w:sz w:val="20"/>
                <w:szCs w:val="20"/>
              </w:rPr>
              <w:t xml:space="preserve">P0</w:t>
            </w:r>
          </w:p>
        </w:tc>
        <w:tc>
          <w:tcPr>
            <w:tcW w:type="dxa" w:w="1500"/>
            <w:tcBorders>
              <w:top w:val="single" w:color="E2E8F0" w:sz="1"/>
              <w:left w:val="single" w:color="E2E8F0" w:sz="1"/>
              <w:bottom w:val="single" w:color="E2E8F0" w:sz="1"/>
              <w:right w:val="single" w:color="E2E8F0" w:sz="1"/>
            </w:tcBorders>
            <w:shd w:fill="F4F6FB" w:val="clear"/>
            <w:tcMar>
              <w:top w:type="dxa" w:w="80"/>
              <w:left w:type="dxa" w:w="120"/>
              <w:bottom w:type="dxa" w:w="80"/>
              <w:right w:type="dxa" w:w="80"/>
            </w:tcMar>
          </w:tcPr>
          <w:p>
            <w:r>
              <w:rPr>
                <w:rFonts w:ascii="Arial" w:cs="Arial" w:eastAsia="Arial" w:hAnsi="Arial"/>
                <w:b w:val="false"/>
                <w:bCs w:val="false"/>
                <w:color w:val="1A202C"/>
                <w:sz w:val="20"/>
                <w:szCs w:val="20"/>
              </w:rPr>
              <w:t xml:space="preserve">Phase 1</w:t>
            </w:r>
          </w:p>
        </w:tc>
      </w:tr>
      <w:tr>
        <w:trPr>
          <w:tblHeader w:val="false"/>
        </w:trPr>
        <w:tc>
          <w:tcPr>
            <w:tcW w:type="dxa" w:w="25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80"/>
            </w:tcMar>
          </w:tcPr>
          <w:p>
            <w:r>
              <w:rPr>
                <w:rFonts w:ascii="Arial" w:cs="Arial" w:eastAsia="Arial" w:hAnsi="Arial"/>
                <w:b w:val="false"/>
                <w:bCs w:val="false"/>
                <w:color w:val="0A0F1E"/>
                <w:sz w:val="20"/>
                <w:szCs w:val="20"/>
              </w:rPr>
              <w:t xml:space="preserve">AI Advisor MVP</w:t>
            </w:r>
          </w:p>
        </w:tc>
        <w:tc>
          <w:tcPr>
            <w:tcW w:type="dxa" w:w="4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20"/>
                <w:szCs w:val="20"/>
              </w:rPr>
              <w:t xml:space="preserve">Conversational purchase advisor — Claude-powered, use-case matching</w:t>
            </w:r>
          </w:p>
        </w:tc>
        <w:tc>
          <w:tcPr>
            <w:tcW w:type="dxa" w:w="1100"/>
            <w:tcBorders>
              <w:top w:val="single" w:color="E2E8F0" w:sz="1"/>
              <w:left w:val="single" w:color="E2E8F0" w:sz="1"/>
              <w:bottom w:val="single" w:color="E2E8F0" w:sz="1"/>
              <w:right w:val="single" w:color="E2E8F0" w:sz="1"/>
            </w:tcBorders>
            <w:shd w:fill="001A2E" w:val="clear"/>
            <w:tcMar>
              <w:top w:type="dxa" w:w="80"/>
              <w:left w:type="dxa" w:w="120"/>
              <w:bottom w:type="dxa" w:w="80"/>
              <w:right w:type="dxa" w:w="80"/>
            </w:tcMar>
          </w:tcPr>
          <w:p>
            <w:pPr>
              <w:jc w:val="center"/>
            </w:pPr>
            <w:r>
              <w:rPr>
                <w:rFonts w:ascii="Arial" w:cs="Arial" w:eastAsia="Arial" w:hAnsi="Arial"/>
                <w:b/>
                <w:bCs/>
                <w:color w:val="00C2FF"/>
                <w:sz w:val="20"/>
                <w:szCs w:val="20"/>
              </w:rPr>
              <w:t xml:space="preserve">P0</w:t>
            </w:r>
          </w:p>
        </w:tc>
        <w:tc>
          <w:tcPr>
            <w:tcW w:type="dxa" w:w="1500"/>
            <w:tcBorders>
              <w:top w:val="single" w:color="E2E8F0" w:sz="1"/>
              <w:left w:val="single" w:color="E2E8F0" w:sz="1"/>
              <w:bottom w:val="single" w:color="E2E8F0" w:sz="1"/>
              <w:right w:val="single" w:color="E2E8F0" w:sz="1"/>
            </w:tcBorders>
            <w:shd w:fill="F4F6FB" w:val="clear"/>
            <w:tcMar>
              <w:top w:type="dxa" w:w="80"/>
              <w:left w:type="dxa" w:w="120"/>
              <w:bottom w:type="dxa" w:w="80"/>
              <w:right w:type="dxa" w:w="80"/>
            </w:tcMar>
          </w:tcPr>
          <w:p>
            <w:r>
              <w:rPr>
                <w:rFonts w:ascii="Arial" w:cs="Arial" w:eastAsia="Arial" w:hAnsi="Arial"/>
                <w:b w:val="false"/>
                <w:bCs w:val="false"/>
                <w:color w:val="1A202C"/>
                <w:sz w:val="20"/>
                <w:szCs w:val="20"/>
              </w:rPr>
              <w:t xml:space="preserve">Phase 1</w:t>
            </w:r>
          </w:p>
        </w:tc>
      </w:tr>
      <w:tr>
        <w:trPr>
          <w:tblHeader w:val="false"/>
        </w:trPr>
        <w:tc>
          <w:tcPr>
            <w:tcW w:type="dxa" w:w="25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80"/>
            </w:tcMar>
          </w:tcPr>
          <w:p>
            <w:r>
              <w:rPr>
                <w:rFonts w:ascii="Arial" w:cs="Arial" w:eastAsia="Arial" w:hAnsi="Arial"/>
                <w:b w:val="false"/>
                <w:bCs w:val="false"/>
                <w:color w:val="0A0F1E"/>
                <w:sz w:val="20"/>
                <w:szCs w:val="20"/>
              </w:rPr>
              <w:t xml:space="preserve">Expert Reviews</w:t>
            </w:r>
          </w:p>
        </w:tc>
        <w:tc>
          <w:tcPr>
            <w:tcW w:type="dxa" w:w="4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20"/>
                <w:szCs w:val="20"/>
              </w:rPr>
              <w:t xml:space="preserve">50 launch reviews across top categories, RoboScore system</w:t>
            </w:r>
          </w:p>
        </w:tc>
        <w:tc>
          <w:tcPr>
            <w:tcW w:type="dxa" w:w="1100"/>
            <w:tcBorders>
              <w:top w:val="single" w:color="E2E8F0" w:sz="1"/>
              <w:left w:val="single" w:color="E2E8F0" w:sz="1"/>
              <w:bottom w:val="single" w:color="E2E8F0" w:sz="1"/>
              <w:right w:val="single" w:color="E2E8F0" w:sz="1"/>
            </w:tcBorders>
            <w:shd w:fill="001A2E" w:val="clear"/>
            <w:tcMar>
              <w:top w:type="dxa" w:w="80"/>
              <w:left w:type="dxa" w:w="120"/>
              <w:bottom w:type="dxa" w:w="80"/>
              <w:right w:type="dxa" w:w="80"/>
            </w:tcMar>
          </w:tcPr>
          <w:p>
            <w:pPr>
              <w:jc w:val="center"/>
            </w:pPr>
            <w:r>
              <w:rPr>
                <w:rFonts w:ascii="Arial" w:cs="Arial" w:eastAsia="Arial" w:hAnsi="Arial"/>
                <w:b/>
                <w:bCs/>
                <w:color w:val="00C2FF"/>
                <w:sz w:val="20"/>
                <w:szCs w:val="20"/>
              </w:rPr>
              <w:t xml:space="preserve">P0</w:t>
            </w:r>
          </w:p>
        </w:tc>
        <w:tc>
          <w:tcPr>
            <w:tcW w:type="dxa" w:w="1500"/>
            <w:tcBorders>
              <w:top w:val="single" w:color="E2E8F0" w:sz="1"/>
              <w:left w:val="single" w:color="E2E8F0" w:sz="1"/>
              <w:bottom w:val="single" w:color="E2E8F0" w:sz="1"/>
              <w:right w:val="single" w:color="E2E8F0" w:sz="1"/>
            </w:tcBorders>
            <w:shd w:fill="F4F6FB" w:val="clear"/>
            <w:tcMar>
              <w:top w:type="dxa" w:w="80"/>
              <w:left w:type="dxa" w:w="120"/>
              <w:bottom w:type="dxa" w:w="80"/>
              <w:right w:type="dxa" w:w="80"/>
            </w:tcMar>
          </w:tcPr>
          <w:p>
            <w:r>
              <w:rPr>
                <w:rFonts w:ascii="Arial" w:cs="Arial" w:eastAsia="Arial" w:hAnsi="Arial"/>
                <w:b w:val="false"/>
                <w:bCs w:val="false"/>
                <w:color w:val="1A202C"/>
                <w:sz w:val="20"/>
                <w:szCs w:val="20"/>
              </w:rPr>
              <w:t xml:space="preserve">Phase 1</w:t>
            </w:r>
          </w:p>
        </w:tc>
      </w:tr>
      <w:tr>
        <w:trPr>
          <w:tblHeader w:val="false"/>
        </w:trPr>
        <w:tc>
          <w:tcPr>
            <w:tcW w:type="dxa" w:w="25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80"/>
            </w:tcMar>
          </w:tcPr>
          <w:p>
            <w:r>
              <w:rPr>
                <w:rFonts w:ascii="Arial" w:cs="Arial" w:eastAsia="Arial" w:hAnsi="Arial"/>
                <w:b w:val="false"/>
                <w:bCs w:val="false"/>
                <w:color w:val="0A0F1E"/>
                <w:sz w:val="20"/>
                <w:szCs w:val="20"/>
              </w:rPr>
              <w:t xml:space="preserve">Search &amp; Browse</w:t>
            </w:r>
          </w:p>
        </w:tc>
        <w:tc>
          <w:tcPr>
            <w:tcW w:type="dxa" w:w="4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20"/>
                <w:szCs w:val="20"/>
              </w:rPr>
              <w:t xml:space="preserve">Full-text + faceted search, category navigation, comparison tool</w:t>
            </w:r>
          </w:p>
        </w:tc>
        <w:tc>
          <w:tcPr>
            <w:tcW w:type="dxa" w:w="1100"/>
            <w:tcBorders>
              <w:top w:val="single" w:color="E2E8F0" w:sz="1"/>
              <w:left w:val="single" w:color="E2E8F0" w:sz="1"/>
              <w:bottom w:val="single" w:color="E2E8F0" w:sz="1"/>
              <w:right w:val="single" w:color="E2E8F0" w:sz="1"/>
            </w:tcBorders>
            <w:shd w:fill="001A2E" w:val="clear"/>
            <w:tcMar>
              <w:top w:type="dxa" w:w="80"/>
              <w:left w:type="dxa" w:w="120"/>
              <w:bottom w:type="dxa" w:w="80"/>
              <w:right w:type="dxa" w:w="80"/>
            </w:tcMar>
          </w:tcPr>
          <w:p>
            <w:pPr>
              <w:jc w:val="center"/>
            </w:pPr>
            <w:r>
              <w:rPr>
                <w:rFonts w:ascii="Arial" w:cs="Arial" w:eastAsia="Arial" w:hAnsi="Arial"/>
                <w:b/>
                <w:bCs/>
                <w:color w:val="00C2FF"/>
                <w:sz w:val="20"/>
                <w:szCs w:val="20"/>
              </w:rPr>
              <w:t xml:space="preserve">P0</w:t>
            </w:r>
          </w:p>
        </w:tc>
        <w:tc>
          <w:tcPr>
            <w:tcW w:type="dxa" w:w="1500"/>
            <w:tcBorders>
              <w:top w:val="single" w:color="E2E8F0" w:sz="1"/>
              <w:left w:val="single" w:color="E2E8F0" w:sz="1"/>
              <w:bottom w:val="single" w:color="E2E8F0" w:sz="1"/>
              <w:right w:val="single" w:color="E2E8F0" w:sz="1"/>
            </w:tcBorders>
            <w:shd w:fill="F4F6FB" w:val="clear"/>
            <w:tcMar>
              <w:top w:type="dxa" w:w="80"/>
              <w:left w:type="dxa" w:w="120"/>
              <w:bottom w:type="dxa" w:w="80"/>
              <w:right w:type="dxa" w:w="80"/>
            </w:tcMar>
          </w:tcPr>
          <w:p>
            <w:r>
              <w:rPr>
                <w:rFonts w:ascii="Arial" w:cs="Arial" w:eastAsia="Arial" w:hAnsi="Arial"/>
                <w:b w:val="false"/>
                <w:bCs w:val="false"/>
                <w:color w:val="1A202C"/>
                <w:sz w:val="20"/>
                <w:szCs w:val="20"/>
              </w:rPr>
              <w:t xml:space="preserve">Phase 1</w:t>
            </w:r>
          </w:p>
        </w:tc>
      </w:tr>
      <w:tr>
        <w:trPr>
          <w:tblHeader w:val="false"/>
        </w:trPr>
        <w:tc>
          <w:tcPr>
            <w:tcW w:type="dxa" w:w="25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80"/>
            </w:tcMar>
          </w:tcPr>
          <w:p>
            <w:r>
              <w:rPr>
                <w:rFonts w:ascii="Arial" w:cs="Arial" w:eastAsia="Arial" w:hAnsi="Arial"/>
                <w:b w:val="false"/>
                <w:bCs w:val="false"/>
                <w:color w:val="0A0F1E"/>
                <w:sz w:val="20"/>
                <w:szCs w:val="20"/>
              </w:rPr>
              <w:t xml:space="preserve">Affiliate Commerce</w:t>
            </w:r>
          </w:p>
        </w:tc>
        <w:tc>
          <w:tcPr>
            <w:tcW w:type="dxa" w:w="4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20"/>
                <w:szCs w:val="20"/>
              </w:rPr>
              <w:t xml:space="preserve">Click-out to retailers with tracked affiliate links, price comparison</w:t>
            </w:r>
          </w:p>
        </w:tc>
        <w:tc>
          <w:tcPr>
            <w:tcW w:type="dxa" w:w="1100"/>
            <w:tcBorders>
              <w:top w:val="single" w:color="E2E8F0" w:sz="1"/>
              <w:left w:val="single" w:color="E2E8F0" w:sz="1"/>
              <w:bottom w:val="single" w:color="E2E8F0" w:sz="1"/>
              <w:right w:val="single" w:color="E2E8F0" w:sz="1"/>
            </w:tcBorders>
            <w:shd w:fill="001A2E" w:val="clear"/>
            <w:tcMar>
              <w:top w:type="dxa" w:w="80"/>
              <w:left w:type="dxa" w:w="120"/>
              <w:bottom w:type="dxa" w:w="80"/>
              <w:right w:type="dxa" w:w="80"/>
            </w:tcMar>
          </w:tcPr>
          <w:p>
            <w:pPr>
              <w:jc w:val="center"/>
            </w:pPr>
            <w:r>
              <w:rPr>
                <w:rFonts w:ascii="Arial" w:cs="Arial" w:eastAsia="Arial" w:hAnsi="Arial"/>
                <w:b/>
                <w:bCs/>
                <w:color w:val="00C2FF"/>
                <w:sz w:val="20"/>
                <w:szCs w:val="20"/>
              </w:rPr>
              <w:t xml:space="preserve">P0</w:t>
            </w:r>
          </w:p>
        </w:tc>
        <w:tc>
          <w:tcPr>
            <w:tcW w:type="dxa" w:w="1500"/>
            <w:tcBorders>
              <w:top w:val="single" w:color="E2E8F0" w:sz="1"/>
              <w:left w:val="single" w:color="E2E8F0" w:sz="1"/>
              <w:bottom w:val="single" w:color="E2E8F0" w:sz="1"/>
              <w:right w:val="single" w:color="E2E8F0" w:sz="1"/>
            </w:tcBorders>
            <w:shd w:fill="F4F6FB" w:val="clear"/>
            <w:tcMar>
              <w:top w:type="dxa" w:w="80"/>
              <w:left w:type="dxa" w:w="120"/>
              <w:bottom w:type="dxa" w:w="80"/>
              <w:right w:type="dxa" w:w="80"/>
            </w:tcMar>
          </w:tcPr>
          <w:p>
            <w:r>
              <w:rPr>
                <w:rFonts w:ascii="Arial" w:cs="Arial" w:eastAsia="Arial" w:hAnsi="Arial"/>
                <w:b w:val="false"/>
                <w:bCs w:val="false"/>
                <w:color w:val="1A202C"/>
                <w:sz w:val="20"/>
                <w:szCs w:val="20"/>
              </w:rPr>
              <w:t xml:space="preserve">Phase 1</w:t>
            </w:r>
          </w:p>
        </w:tc>
      </w:tr>
      <w:tr>
        <w:trPr>
          <w:tblHeader w:val="false"/>
        </w:trPr>
        <w:tc>
          <w:tcPr>
            <w:tcW w:type="dxa" w:w="25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80"/>
            </w:tcMar>
          </w:tcPr>
          <w:p>
            <w:r>
              <w:rPr>
                <w:rFonts w:ascii="Arial" w:cs="Arial" w:eastAsia="Arial" w:hAnsi="Arial"/>
                <w:b w:val="false"/>
                <w:bCs w:val="false"/>
                <w:color w:val="0A0F1E"/>
                <w:sz w:val="20"/>
                <w:szCs w:val="20"/>
              </w:rPr>
              <w:t xml:space="preserve">Community Reviews</w:t>
            </w:r>
          </w:p>
        </w:tc>
        <w:tc>
          <w:tcPr>
            <w:tcW w:type="dxa" w:w="4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20"/>
                <w:szCs w:val="20"/>
              </w:rPr>
              <w:t xml:space="preserve">User review submission, verified purchase badge, moderation queue</w:t>
            </w:r>
          </w:p>
        </w:tc>
        <w:tc>
          <w:tcPr>
            <w:tcW w:type="dxa" w:w="1100"/>
            <w:tcBorders>
              <w:top w:val="single" w:color="E2E8F0" w:sz="1"/>
              <w:left w:val="single" w:color="E2E8F0" w:sz="1"/>
              <w:bottom w:val="single" w:color="E2E8F0" w:sz="1"/>
              <w:right w:val="single" w:color="E2E8F0" w:sz="1"/>
            </w:tcBorders>
            <w:shd w:fill="003D26" w:val="clear"/>
            <w:tcMar>
              <w:top w:type="dxa" w:w="80"/>
              <w:left w:type="dxa" w:w="120"/>
              <w:bottom w:type="dxa" w:w="80"/>
              <w:right w:type="dxa" w:w="80"/>
            </w:tcMar>
          </w:tcPr>
          <w:p>
            <w:pPr>
              <w:jc w:val="center"/>
            </w:pPr>
            <w:r>
              <w:rPr>
                <w:rFonts w:ascii="Arial" w:cs="Arial" w:eastAsia="Arial" w:hAnsi="Arial"/>
                <w:b/>
                <w:bCs/>
                <w:color w:val="00E5A0"/>
                <w:sz w:val="20"/>
                <w:szCs w:val="20"/>
              </w:rPr>
              <w:t xml:space="preserve">P1</w:t>
            </w:r>
          </w:p>
        </w:tc>
        <w:tc>
          <w:tcPr>
            <w:tcW w:type="dxa" w:w="1500"/>
            <w:tcBorders>
              <w:top w:val="single" w:color="E2E8F0" w:sz="1"/>
              <w:left w:val="single" w:color="E2E8F0" w:sz="1"/>
              <w:bottom w:val="single" w:color="E2E8F0" w:sz="1"/>
              <w:right w:val="single" w:color="E2E8F0" w:sz="1"/>
            </w:tcBorders>
            <w:shd w:fill="F4F6FB" w:val="clear"/>
            <w:tcMar>
              <w:top w:type="dxa" w:w="80"/>
              <w:left w:type="dxa" w:w="120"/>
              <w:bottom w:type="dxa" w:w="80"/>
              <w:right w:type="dxa" w:w="80"/>
            </w:tcMar>
          </w:tcPr>
          <w:p>
            <w:r>
              <w:rPr>
                <w:rFonts w:ascii="Arial" w:cs="Arial" w:eastAsia="Arial" w:hAnsi="Arial"/>
                <w:b w:val="false"/>
                <w:bCs w:val="false"/>
                <w:color w:val="1A202C"/>
                <w:sz w:val="20"/>
                <w:szCs w:val="20"/>
              </w:rPr>
              <w:t xml:space="preserve">Phase 1</w:t>
            </w:r>
          </w:p>
        </w:tc>
      </w:tr>
      <w:tr>
        <w:trPr>
          <w:tblHeader w:val="false"/>
        </w:trPr>
        <w:tc>
          <w:tcPr>
            <w:tcW w:type="dxa" w:w="25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80"/>
            </w:tcMar>
          </w:tcPr>
          <w:p>
            <w:r>
              <w:rPr>
                <w:rFonts w:ascii="Arial" w:cs="Arial" w:eastAsia="Arial" w:hAnsi="Arial"/>
                <w:b w:val="false"/>
                <w:bCs w:val="false"/>
                <w:color w:val="0A0F1E"/>
                <w:sz w:val="20"/>
                <w:szCs w:val="20"/>
              </w:rPr>
              <w:t xml:space="preserve">RoboLearn Basics</w:t>
            </w:r>
          </w:p>
        </w:tc>
        <w:tc>
          <w:tcPr>
            <w:tcW w:type="dxa" w:w="4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20"/>
                <w:szCs w:val="20"/>
              </w:rPr>
              <w:t xml:space="preserve">20 beginner courses, video player, progress tracking</w:t>
            </w:r>
          </w:p>
        </w:tc>
        <w:tc>
          <w:tcPr>
            <w:tcW w:type="dxa" w:w="1100"/>
            <w:tcBorders>
              <w:top w:val="single" w:color="E2E8F0" w:sz="1"/>
              <w:left w:val="single" w:color="E2E8F0" w:sz="1"/>
              <w:bottom w:val="single" w:color="E2E8F0" w:sz="1"/>
              <w:right w:val="single" w:color="E2E8F0" w:sz="1"/>
            </w:tcBorders>
            <w:shd w:fill="003D26" w:val="clear"/>
            <w:tcMar>
              <w:top w:type="dxa" w:w="80"/>
              <w:left w:type="dxa" w:w="120"/>
              <w:bottom w:type="dxa" w:w="80"/>
              <w:right w:type="dxa" w:w="80"/>
            </w:tcMar>
          </w:tcPr>
          <w:p>
            <w:pPr>
              <w:jc w:val="center"/>
            </w:pPr>
            <w:r>
              <w:rPr>
                <w:rFonts w:ascii="Arial" w:cs="Arial" w:eastAsia="Arial" w:hAnsi="Arial"/>
                <w:b/>
                <w:bCs/>
                <w:color w:val="00E5A0"/>
                <w:sz w:val="20"/>
                <w:szCs w:val="20"/>
              </w:rPr>
              <w:t xml:space="preserve">P1</w:t>
            </w:r>
          </w:p>
        </w:tc>
        <w:tc>
          <w:tcPr>
            <w:tcW w:type="dxa" w:w="1500"/>
            <w:tcBorders>
              <w:top w:val="single" w:color="E2E8F0" w:sz="1"/>
              <w:left w:val="single" w:color="E2E8F0" w:sz="1"/>
              <w:bottom w:val="single" w:color="E2E8F0" w:sz="1"/>
              <w:right w:val="single" w:color="E2E8F0" w:sz="1"/>
            </w:tcBorders>
            <w:shd w:fill="F4F6FB" w:val="clear"/>
            <w:tcMar>
              <w:top w:type="dxa" w:w="80"/>
              <w:left w:type="dxa" w:w="120"/>
              <w:bottom w:type="dxa" w:w="80"/>
              <w:right w:type="dxa" w:w="80"/>
            </w:tcMar>
          </w:tcPr>
          <w:p>
            <w:r>
              <w:rPr>
                <w:rFonts w:ascii="Arial" w:cs="Arial" w:eastAsia="Arial" w:hAnsi="Arial"/>
                <w:b w:val="false"/>
                <w:bCs w:val="false"/>
                <w:color w:val="1A202C"/>
                <w:sz w:val="20"/>
                <w:szCs w:val="20"/>
              </w:rPr>
              <w:t xml:space="preserve">Phase 1</w:t>
            </w:r>
          </w:p>
        </w:tc>
      </w:tr>
      <w:tr>
        <w:trPr>
          <w:tblHeader w:val="false"/>
        </w:trPr>
        <w:tc>
          <w:tcPr>
            <w:tcW w:type="dxa" w:w="25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80"/>
            </w:tcMar>
          </w:tcPr>
          <w:p>
            <w:r>
              <w:rPr>
                <w:rFonts w:ascii="Arial" w:cs="Arial" w:eastAsia="Arial" w:hAnsi="Arial"/>
                <w:b w:val="false"/>
                <w:bCs w:val="false"/>
                <w:color w:val="0A0F1E"/>
                <w:sz w:val="20"/>
                <w:szCs w:val="20"/>
              </w:rPr>
              <w:t xml:space="preserve">Newsletter + SEO</w:t>
            </w:r>
          </w:p>
        </w:tc>
        <w:tc>
          <w:tcPr>
            <w:tcW w:type="dxa" w:w="4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20"/>
                <w:szCs w:val="20"/>
              </w:rPr>
              <w:t xml:space="preserve">Programmatic SEO pages, weekly newsletter, social distribution</w:t>
            </w:r>
          </w:p>
        </w:tc>
        <w:tc>
          <w:tcPr>
            <w:tcW w:type="dxa" w:w="1100"/>
            <w:tcBorders>
              <w:top w:val="single" w:color="E2E8F0" w:sz="1"/>
              <w:left w:val="single" w:color="E2E8F0" w:sz="1"/>
              <w:bottom w:val="single" w:color="E2E8F0" w:sz="1"/>
              <w:right w:val="single" w:color="E2E8F0" w:sz="1"/>
            </w:tcBorders>
            <w:shd w:fill="001A2E" w:val="clear"/>
            <w:tcMar>
              <w:top w:type="dxa" w:w="80"/>
              <w:left w:type="dxa" w:w="120"/>
              <w:bottom w:type="dxa" w:w="80"/>
              <w:right w:type="dxa" w:w="80"/>
            </w:tcMar>
          </w:tcPr>
          <w:p>
            <w:pPr>
              <w:jc w:val="center"/>
            </w:pPr>
            <w:r>
              <w:rPr>
                <w:rFonts w:ascii="Arial" w:cs="Arial" w:eastAsia="Arial" w:hAnsi="Arial"/>
                <w:b/>
                <w:bCs/>
                <w:color w:val="00C2FF"/>
                <w:sz w:val="20"/>
                <w:szCs w:val="20"/>
              </w:rPr>
              <w:t xml:space="preserve">P0</w:t>
            </w:r>
          </w:p>
        </w:tc>
        <w:tc>
          <w:tcPr>
            <w:tcW w:type="dxa" w:w="1500"/>
            <w:tcBorders>
              <w:top w:val="single" w:color="E2E8F0" w:sz="1"/>
              <w:left w:val="single" w:color="E2E8F0" w:sz="1"/>
              <w:bottom w:val="single" w:color="E2E8F0" w:sz="1"/>
              <w:right w:val="single" w:color="E2E8F0" w:sz="1"/>
            </w:tcBorders>
            <w:shd w:fill="F4F6FB" w:val="clear"/>
            <w:tcMar>
              <w:top w:type="dxa" w:w="80"/>
              <w:left w:type="dxa" w:w="120"/>
              <w:bottom w:type="dxa" w:w="80"/>
              <w:right w:type="dxa" w:w="80"/>
            </w:tcMar>
          </w:tcPr>
          <w:p>
            <w:r>
              <w:rPr>
                <w:rFonts w:ascii="Arial" w:cs="Arial" w:eastAsia="Arial" w:hAnsi="Arial"/>
                <w:b w:val="false"/>
                <w:bCs w:val="false"/>
                <w:color w:val="1A202C"/>
                <w:sz w:val="20"/>
                <w:szCs w:val="20"/>
              </w:rPr>
              <w:t xml:space="preserve">Phase 1</w:t>
            </w:r>
          </w:p>
        </w:tc>
      </w:tr>
      <w:tr>
        <w:trPr>
          <w:tblHeader w:val="false"/>
        </w:trPr>
        <w:tc>
          <w:tcPr>
            <w:tcW w:type="dxa" w:w="25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80"/>
            </w:tcMar>
          </w:tcPr>
          <w:p>
            <w:r>
              <w:rPr>
                <w:rFonts w:ascii="Arial" w:cs="Arial" w:eastAsia="Arial" w:hAnsi="Arial"/>
                <w:b w:val="false"/>
                <w:bCs w:val="false"/>
                <w:color w:val="0A0F1E"/>
                <w:sz w:val="20"/>
                <w:szCs w:val="20"/>
              </w:rPr>
              <w:t xml:space="preserve">User Accounts</w:t>
            </w:r>
          </w:p>
        </w:tc>
        <w:tc>
          <w:tcPr>
            <w:tcW w:type="dxa" w:w="4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20"/>
                <w:szCs w:val="20"/>
              </w:rPr>
              <w:t xml:space="preserve">Auth, saved robots, review history, advisor conversation history</w:t>
            </w:r>
          </w:p>
        </w:tc>
        <w:tc>
          <w:tcPr>
            <w:tcW w:type="dxa" w:w="1100"/>
            <w:tcBorders>
              <w:top w:val="single" w:color="E2E8F0" w:sz="1"/>
              <w:left w:val="single" w:color="E2E8F0" w:sz="1"/>
              <w:bottom w:val="single" w:color="E2E8F0" w:sz="1"/>
              <w:right w:val="single" w:color="E2E8F0" w:sz="1"/>
            </w:tcBorders>
            <w:shd w:fill="003D26" w:val="clear"/>
            <w:tcMar>
              <w:top w:type="dxa" w:w="80"/>
              <w:left w:type="dxa" w:w="120"/>
              <w:bottom w:type="dxa" w:w="80"/>
              <w:right w:type="dxa" w:w="80"/>
            </w:tcMar>
          </w:tcPr>
          <w:p>
            <w:pPr>
              <w:jc w:val="center"/>
            </w:pPr>
            <w:r>
              <w:rPr>
                <w:rFonts w:ascii="Arial" w:cs="Arial" w:eastAsia="Arial" w:hAnsi="Arial"/>
                <w:b/>
                <w:bCs/>
                <w:color w:val="00E5A0"/>
                <w:sz w:val="20"/>
                <w:szCs w:val="20"/>
              </w:rPr>
              <w:t xml:space="preserve">P1</w:t>
            </w:r>
          </w:p>
        </w:tc>
        <w:tc>
          <w:tcPr>
            <w:tcW w:type="dxa" w:w="1500"/>
            <w:tcBorders>
              <w:top w:val="single" w:color="E2E8F0" w:sz="1"/>
              <w:left w:val="single" w:color="E2E8F0" w:sz="1"/>
              <w:bottom w:val="single" w:color="E2E8F0" w:sz="1"/>
              <w:right w:val="single" w:color="E2E8F0" w:sz="1"/>
            </w:tcBorders>
            <w:shd w:fill="F4F6FB" w:val="clear"/>
            <w:tcMar>
              <w:top w:type="dxa" w:w="80"/>
              <w:left w:type="dxa" w:w="120"/>
              <w:bottom w:type="dxa" w:w="80"/>
              <w:right w:type="dxa" w:w="80"/>
            </w:tcMar>
          </w:tcPr>
          <w:p>
            <w:r>
              <w:rPr>
                <w:rFonts w:ascii="Arial" w:cs="Arial" w:eastAsia="Arial" w:hAnsi="Arial"/>
                <w:b w:val="false"/>
                <w:bCs w:val="false"/>
                <w:color w:val="1A202C"/>
                <w:sz w:val="20"/>
                <w:szCs w:val="20"/>
              </w:rPr>
              <w:t xml:space="preserve">Phase 1</w:t>
            </w:r>
          </w:p>
        </w:tc>
      </w:tr>
      <w:tr>
        <w:trPr>
          <w:tblHeader w:val="false"/>
        </w:trPr>
        <w:tc>
          <w:tcPr>
            <w:tcW w:type="dxa" w:w="25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80"/>
            </w:tcMar>
          </w:tcPr>
          <w:p>
            <w:r>
              <w:rPr>
                <w:rFonts w:ascii="Arial" w:cs="Arial" w:eastAsia="Arial" w:hAnsi="Arial"/>
                <w:b w:val="false"/>
                <w:bCs w:val="false"/>
                <w:color w:val="0A0F1E"/>
                <w:sz w:val="20"/>
                <w:szCs w:val="20"/>
              </w:rPr>
              <w:t xml:space="preserve">Manufacturer Portal</w:t>
            </w:r>
          </w:p>
        </w:tc>
        <w:tc>
          <w:tcPr>
            <w:tcW w:type="dxa" w:w="4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20"/>
                <w:szCs w:val="20"/>
              </w:rPr>
              <w:t xml:space="preserve">Self-serve data submission for robot makers, media kit</w:t>
            </w:r>
          </w:p>
        </w:tc>
        <w:tc>
          <w:tcPr>
            <w:tcW w:type="dxa" w:w="1100"/>
            <w:tcBorders>
              <w:top w:val="single" w:color="E2E8F0" w:sz="1"/>
              <w:left w:val="single" w:color="E2E8F0" w:sz="1"/>
              <w:bottom w:val="single" w:color="E2E8F0" w:sz="1"/>
              <w:right w:val="single" w:color="E2E8F0" w:sz="1"/>
            </w:tcBorders>
            <w:shd w:fill="003D26" w:val="clear"/>
            <w:tcMar>
              <w:top w:type="dxa" w:w="80"/>
              <w:left w:type="dxa" w:w="120"/>
              <w:bottom w:type="dxa" w:w="80"/>
              <w:right w:type="dxa" w:w="80"/>
            </w:tcMar>
          </w:tcPr>
          <w:p>
            <w:pPr>
              <w:jc w:val="center"/>
            </w:pPr>
            <w:r>
              <w:rPr>
                <w:rFonts w:ascii="Arial" w:cs="Arial" w:eastAsia="Arial" w:hAnsi="Arial"/>
                <w:b/>
                <w:bCs/>
                <w:color w:val="00E5A0"/>
                <w:sz w:val="20"/>
                <w:szCs w:val="20"/>
              </w:rPr>
              <w:t xml:space="preserve">P1</w:t>
            </w:r>
          </w:p>
        </w:tc>
        <w:tc>
          <w:tcPr>
            <w:tcW w:type="dxa" w:w="1500"/>
            <w:tcBorders>
              <w:top w:val="single" w:color="E2E8F0" w:sz="1"/>
              <w:left w:val="single" w:color="E2E8F0" w:sz="1"/>
              <w:bottom w:val="single" w:color="E2E8F0" w:sz="1"/>
              <w:right w:val="single" w:color="E2E8F0" w:sz="1"/>
            </w:tcBorders>
            <w:shd w:fill="F4F6FB" w:val="clear"/>
            <w:tcMar>
              <w:top w:type="dxa" w:w="80"/>
              <w:left w:type="dxa" w:w="120"/>
              <w:bottom w:type="dxa" w:w="80"/>
              <w:right w:type="dxa" w:w="80"/>
            </w:tcMar>
          </w:tcPr>
          <w:p>
            <w:r>
              <w:rPr>
                <w:rFonts w:ascii="Arial" w:cs="Arial" w:eastAsia="Arial" w:hAnsi="Arial"/>
                <w:b w:val="false"/>
                <w:bCs w:val="false"/>
                <w:color w:val="1A202C"/>
                <w:sz w:val="20"/>
                <w:szCs w:val="20"/>
              </w:rPr>
              <w:t xml:space="preserve">Phase 1</w:t>
            </w:r>
          </w:p>
        </w:tc>
      </w:tr>
    </w:tbl>
    <w:p>
      <w:pPr>
        <w:spacing w:after="0" w:before="120"/>
      </w:pPr>
      <w:r>
        <w:t xml:space="preserve"/>
      </w:r>
    </w:p>
    <w:p>
      <w:pPr>
        <w:pStyle w:val="Heading2"/>
        <w:spacing w:after="160" w:before="360"/>
      </w:pPr>
      <w:r>
        <w:rPr>
          <w:rFonts w:ascii="Arial" w:cs="Arial" w:eastAsia="Arial" w:hAnsi="Arial"/>
          <w:b/>
          <w:bCs/>
          <w:color w:val="0A0F1E"/>
          <w:sz w:val="30"/>
          <w:szCs w:val="30"/>
        </w:rPr>
        <w:t xml:space="preserve">Phase 2 — Marketplace &amp; Community (Months 7-14)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260"/>
        <w:gridCol w:w="1100"/>
        <w:gridCol w:w="1500"/>
      </w:tblGrid>
      <w:tr>
        <w:trPr>
          <w:tblHeader/>
        </w:trPr>
        <w:tc>
          <w:tcPr>
            <w:tcW w:type="dxa" w:w="2500"/>
            <w:tcBorders>
              <w:top w:val="single" w:color="E2E8F0" w:sz="1"/>
              <w:left w:val="single" w:color="E2E8F0" w:sz="1"/>
              <w:bottom w:val="single" w:color="E2E8F0" w:sz="1"/>
              <w:right w:val="single" w:color="E2E8F0" w:sz="1"/>
            </w:tcBorders>
            <w:shd w:fill="0A0F1E" w:val="clear"/>
            <w:tcMar>
              <w:top w:type="dxa" w:w="80"/>
              <w:left w:type="dxa" w:w="160"/>
              <w:bottom w:type="dxa" w:w="80"/>
              <w:right w:type="dxa" w:w="80"/>
            </w:tcMar>
          </w:tcPr>
          <w:p>
            <w:r>
              <w:rPr>
                <w:rFonts w:ascii="Arial" w:cs="Arial" w:eastAsia="Arial" w:hAnsi="Arial"/>
                <w:b/>
                <w:bCs/>
                <w:color w:val="FFFFFF"/>
                <w:sz w:val="20"/>
                <w:szCs w:val="20"/>
              </w:rPr>
              <w:t xml:space="preserve">Feature</w:t>
            </w:r>
          </w:p>
        </w:tc>
        <w:tc>
          <w:tcPr>
            <w:tcW w:type="dxa" w:w="4260"/>
            <w:tcBorders>
              <w:top w:val="single" w:color="E2E8F0" w:sz="1"/>
              <w:left w:val="single" w:color="E2E8F0" w:sz="1"/>
              <w:bottom w:val="single" w:color="E2E8F0" w:sz="1"/>
              <w:right w:val="single" w:color="E2E8F0" w:sz="1"/>
            </w:tcBorders>
            <w:shd w:fill="0A0F1E" w:val="clear"/>
            <w:tcMar>
              <w:top w:type="dxa" w:w="80"/>
              <w:left w:type="dxa" w:w="120"/>
              <w:bottom w:type="dxa" w:w="80"/>
              <w:right w:type="dxa" w:w="80"/>
            </w:tcMar>
          </w:tcPr>
          <w:p>
            <w:r>
              <w:rPr>
                <w:rFonts w:ascii="Arial" w:cs="Arial" w:eastAsia="Arial" w:hAnsi="Arial"/>
                <w:b/>
                <w:bCs/>
                <w:color w:val="FFFFFF"/>
                <w:sz w:val="20"/>
                <w:szCs w:val="20"/>
              </w:rPr>
              <w:t xml:space="preserve">Description</w:t>
            </w:r>
          </w:p>
        </w:tc>
        <w:tc>
          <w:tcPr>
            <w:tcW w:type="dxa" w:w="1100"/>
            <w:tcBorders>
              <w:top w:val="single" w:color="E2E8F0" w:sz="1"/>
              <w:left w:val="single" w:color="E2E8F0" w:sz="1"/>
              <w:bottom w:val="single" w:color="E2E8F0" w:sz="1"/>
              <w:right w:val="single" w:color="E2E8F0" w:sz="1"/>
            </w:tcBorders>
            <w:shd w:fill="0A0F1E"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Pri</w:t>
            </w:r>
          </w:p>
        </w:tc>
        <w:tc>
          <w:tcPr>
            <w:tcW w:type="dxa" w:w="1500"/>
            <w:tcBorders>
              <w:top w:val="single" w:color="E2E8F0" w:sz="1"/>
              <w:left w:val="single" w:color="E2E8F0" w:sz="1"/>
              <w:bottom w:val="single" w:color="E2E8F0" w:sz="1"/>
              <w:right w:val="single" w:color="E2E8F0" w:sz="1"/>
            </w:tcBorders>
            <w:shd w:fill="0A0F1E" w:val="clear"/>
            <w:tcMar>
              <w:top w:type="dxa" w:w="80"/>
              <w:left w:type="dxa" w:w="120"/>
              <w:bottom w:type="dxa" w:w="80"/>
              <w:right w:type="dxa" w:w="80"/>
            </w:tcMar>
          </w:tcPr>
          <w:p>
            <w:r>
              <w:rPr>
                <w:rFonts w:ascii="Arial" w:cs="Arial" w:eastAsia="Arial" w:hAnsi="Arial"/>
                <w:b/>
                <w:bCs/>
                <w:color w:val="FFFFFF"/>
                <w:sz w:val="20"/>
                <w:szCs w:val="20"/>
              </w:rPr>
              <w:t xml:space="preserve">Phase</w:t>
            </w:r>
          </w:p>
        </w:tc>
      </w:tr>
      <w:tr>
        <w:trPr>
          <w:tblHeader w:val="false"/>
        </w:trPr>
        <w:tc>
          <w:tcPr>
            <w:tcW w:type="dxa" w:w="25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80"/>
            </w:tcMar>
          </w:tcPr>
          <w:p>
            <w:r>
              <w:rPr>
                <w:rFonts w:ascii="Arial" w:cs="Arial" w:eastAsia="Arial" w:hAnsi="Arial"/>
                <w:b w:val="false"/>
                <w:bCs w:val="false"/>
                <w:color w:val="0A0F1E"/>
                <w:sz w:val="20"/>
                <w:szCs w:val="20"/>
              </w:rPr>
              <w:t xml:space="preserve">RoboMarket Launch</w:t>
            </w:r>
          </w:p>
        </w:tc>
        <w:tc>
          <w:tcPr>
            <w:tcW w:type="dxa" w:w="4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20"/>
                <w:szCs w:val="20"/>
              </w:rPr>
              <w:t xml:space="preserve">New robot marketplace — manufacturer direct + authorized resellers</w:t>
            </w:r>
          </w:p>
        </w:tc>
        <w:tc>
          <w:tcPr>
            <w:tcW w:type="dxa" w:w="1100"/>
            <w:tcBorders>
              <w:top w:val="single" w:color="E2E8F0" w:sz="1"/>
              <w:left w:val="single" w:color="E2E8F0" w:sz="1"/>
              <w:bottom w:val="single" w:color="E2E8F0" w:sz="1"/>
              <w:right w:val="single" w:color="E2E8F0" w:sz="1"/>
            </w:tcBorders>
            <w:shd w:fill="001A2E" w:val="clear"/>
            <w:tcMar>
              <w:top w:type="dxa" w:w="80"/>
              <w:left w:type="dxa" w:w="120"/>
              <w:bottom w:type="dxa" w:w="80"/>
              <w:right w:type="dxa" w:w="80"/>
            </w:tcMar>
          </w:tcPr>
          <w:p>
            <w:pPr>
              <w:jc w:val="center"/>
            </w:pPr>
            <w:r>
              <w:rPr>
                <w:rFonts w:ascii="Arial" w:cs="Arial" w:eastAsia="Arial" w:hAnsi="Arial"/>
                <w:b/>
                <w:bCs/>
                <w:color w:val="00C2FF"/>
                <w:sz w:val="20"/>
                <w:szCs w:val="20"/>
              </w:rPr>
              <w:t xml:space="preserve">P0</w:t>
            </w:r>
          </w:p>
        </w:tc>
        <w:tc>
          <w:tcPr>
            <w:tcW w:type="dxa" w:w="1500"/>
            <w:tcBorders>
              <w:top w:val="single" w:color="E2E8F0" w:sz="1"/>
              <w:left w:val="single" w:color="E2E8F0" w:sz="1"/>
              <w:bottom w:val="single" w:color="E2E8F0" w:sz="1"/>
              <w:right w:val="single" w:color="E2E8F0" w:sz="1"/>
            </w:tcBorders>
            <w:shd w:fill="F4F6FB" w:val="clear"/>
            <w:tcMar>
              <w:top w:type="dxa" w:w="80"/>
              <w:left w:type="dxa" w:w="120"/>
              <w:bottom w:type="dxa" w:w="80"/>
              <w:right w:type="dxa" w:w="80"/>
            </w:tcMar>
          </w:tcPr>
          <w:p>
            <w:r>
              <w:rPr>
                <w:rFonts w:ascii="Arial" w:cs="Arial" w:eastAsia="Arial" w:hAnsi="Arial"/>
                <w:b w:val="false"/>
                <w:bCs w:val="false"/>
                <w:color w:val="1A202C"/>
                <w:sz w:val="20"/>
                <w:szCs w:val="20"/>
              </w:rPr>
              <w:t xml:space="preserve">Phase 2</w:t>
            </w:r>
          </w:p>
        </w:tc>
      </w:tr>
      <w:tr>
        <w:trPr>
          <w:tblHeader w:val="false"/>
        </w:trPr>
        <w:tc>
          <w:tcPr>
            <w:tcW w:type="dxa" w:w="25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80"/>
            </w:tcMar>
          </w:tcPr>
          <w:p>
            <w:r>
              <w:rPr>
                <w:rFonts w:ascii="Arial" w:cs="Arial" w:eastAsia="Arial" w:hAnsi="Arial"/>
                <w:b w:val="false"/>
                <w:bCs w:val="false"/>
                <w:color w:val="0A0F1E"/>
                <w:sz w:val="20"/>
                <w:szCs w:val="20"/>
              </w:rPr>
              <w:t xml:space="preserve">P2P Marketplace</w:t>
            </w:r>
          </w:p>
        </w:tc>
        <w:tc>
          <w:tcPr>
            <w:tcW w:type="dxa" w:w="4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20"/>
                <w:szCs w:val="20"/>
              </w:rPr>
              <w:t xml:space="preserve">Consumer-to-consumer listings with escrow, condition grading</w:t>
            </w:r>
          </w:p>
        </w:tc>
        <w:tc>
          <w:tcPr>
            <w:tcW w:type="dxa" w:w="1100"/>
            <w:tcBorders>
              <w:top w:val="single" w:color="E2E8F0" w:sz="1"/>
              <w:left w:val="single" w:color="E2E8F0" w:sz="1"/>
              <w:bottom w:val="single" w:color="E2E8F0" w:sz="1"/>
              <w:right w:val="single" w:color="E2E8F0" w:sz="1"/>
            </w:tcBorders>
            <w:shd w:fill="001A2E" w:val="clear"/>
            <w:tcMar>
              <w:top w:type="dxa" w:w="80"/>
              <w:left w:type="dxa" w:w="120"/>
              <w:bottom w:type="dxa" w:w="80"/>
              <w:right w:type="dxa" w:w="80"/>
            </w:tcMar>
          </w:tcPr>
          <w:p>
            <w:pPr>
              <w:jc w:val="center"/>
            </w:pPr>
            <w:r>
              <w:rPr>
                <w:rFonts w:ascii="Arial" w:cs="Arial" w:eastAsia="Arial" w:hAnsi="Arial"/>
                <w:b/>
                <w:bCs/>
                <w:color w:val="00C2FF"/>
                <w:sz w:val="20"/>
                <w:szCs w:val="20"/>
              </w:rPr>
              <w:t xml:space="preserve">P0</w:t>
            </w:r>
          </w:p>
        </w:tc>
        <w:tc>
          <w:tcPr>
            <w:tcW w:type="dxa" w:w="1500"/>
            <w:tcBorders>
              <w:top w:val="single" w:color="E2E8F0" w:sz="1"/>
              <w:left w:val="single" w:color="E2E8F0" w:sz="1"/>
              <w:bottom w:val="single" w:color="E2E8F0" w:sz="1"/>
              <w:right w:val="single" w:color="E2E8F0" w:sz="1"/>
            </w:tcBorders>
            <w:shd w:fill="F4F6FB" w:val="clear"/>
            <w:tcMar>
              <w:top w:type="dxa" w:w="80"/>
              <w:left w:type="dxa" w:w="120"/>
              <w:bottom w:type="dxa" w:w="80"/>
              <w:right w:type="dxa" w:w="80"/>
            </w:tcMar>
          </w:tcPr>
          <w:p>
            <w:r>
              <w:rPr>
                <w:rFonts w:ascii="Arial" w:cs="Arial" w:eastAsia="Arial" w:hAnsi="Arial"/>
                <w:b w:val="false"/>
                <w:bCs w:val="false"/>
                <w:color w:val="1A202C"/>
                <w:sz w:val="20"/>
                <w:szCs w:val="20"/>
              </w:rPr>
              <w:t xml:space="preserve">Phase 2</w:t>
            </w:r>
          </w:p>
        </w:tc>
      </w:tr>
      <w:tr>
        <w:trPr>
          <w:tblHeader w:val="false"/>
        </w:trPr>
        <w:tc>
          <w:tcPr>
            <w:tcW w:type="dxa" w:w="25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80"/>
            </w:tcMar>
          </w:tcPr>
          <w:p>
            <w:r>
              <w:rPr>
                <w:rFonts w:ascii="Arial" w:cs="Arial" w:eastAsia="Arial" w:hAnsi="Arial"/>
                <w:b w:val="false"/>
                <w:bCs w:val="false"/>
                <w:color w:val="0A0F1E"/>
                <w:sz w:val="20"/>
                <w:szCs w:val="20"/>
              </w:rPr>
              <w:t xml:space="preserve">Price History</w:t>
            </w:r>
          </w:p>
        </w:tc>
        <w:tc>
          <w:tcPr>
            <w:tcW w:type="dxa" w:w="4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20"/>
                <w:szCs w:val="20"/>
              </w:rPr>
              <w:t xml:space="preserve">Price tracking for all listed products, alert system</w:t>
            </w:r>
          </w:p>
        </w:tc>
        <w:tc>
          <w:tcPr>
            <w:tcW w:type="dxa" w:w="1100"/>
            <w:tcBorders>
              <w:top w:val="single" w:color="E2E8F0" w:sz="1"/>
              <w:left w:val="single" w:color="E2E8F0" w:sz="1"/>
              <w:bottom w:val="single" w:color="E2E8F0" w:sz="1"/>
              <w:right w:val="single" w:color="E2E8F0" w:sz="1"/>
            </w:tcBorders>
            <w:shd w:fill="003D26" w:val="clear"/>
            <w:tcMar>
              <w:top w:type="dxa" w:w="80"/>
              <w:left w:type="dxa" w:w="120"/>
              <w:bottom w:type="dxa" w:w="80"/>
              <w:right w:type="dxa" w:w="80"/>
            </w:tcMar>
          </w:tcPr>
          <w:p>
            <w:pPr>
              <w:jc w:val="center"/>
            </w:pPr>
            <w:r>
              <w:rPr>
                <w:rFonts w:ascii="Arial" w:cs="Arial" w:eastAsia="Arial" w:hAnsi="Arial"/>
                <w:b/>
                <w:bCs/>
                <w:color w:val="00E5A0"/>
                <w:sz w:val="20"/>
                <w:szCs w:val="20"/>
              </w:rPr>
              <w:t xml:space="preserve">P1</w:t>
            </w:r>
          </w:p>
        </w:tc>
        <w:tc>
          <w:tcPr>
            <w:tcW w:type="dxa" w:w="1500"/>
            <w:tcBorders>
              <w:top w:val="single" w:color="E2E8F0" w:sz="1"/>
              <w:left w:val="single" w:color="E2E8F0" w:sz="1"/>
              <w:bottom w:val="single" w:color="E2E8F0" w:sz="1"/>
              <w:right w:val="single" w:color="E2E8F0" w:sz="1"/>
            </w:tcBorders>
            <w:shd w:fill="F4F6FB" w:val="clear"/>
            <w:tcMar>
              <w:top w:type="dxa" w:w="80"/>
              <w:left w:type="dxa" w:w="120"/>
              <w:bottom w:type="dxa" w:w="80"/>
              <w:right w:type="dxa" w:w="80"/>
            </w:tcMar>
          </w:tcPr>
          <w:p>
            <w:r>
              <w:rPr>
                <w:rFonts w:ascii="Arial" w:cs="Arial" w:eastAsia="Arial" w:hAnsi="Arial"/>
                <w:b w:val="false"/>
                <w:bCs w:val="false"/>
                <w:color w:val="1A202C"/>
                <w:sz w:val="20"/>
                <w:szCs w:val="20"/>
              </w:rPr>
              <w:t xml:space="preserve">Phase 2</w:t>
            </w:r>
          </w:p>
        </w:tc>
      </w:tr>
      <w:tr>
        <w:trPr>
          <w:tblHeader w:val="false"/>
        </w:trPr>
        <w:tc>
          <w:tcPr>
            <w:tcW w:type="dxa" w:w="25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80"/>
            </w:tcMar>
          </w:tcPr>
          <w:p>
            <w:r>
              <w:rPr>
                <w:rFonts w:ascii="Arial" w:cs="Arial" w:eastAsia="Arial" w:hAnsi="Arial"/>
                <w:b w:val="false"/>
                <w:bCs w:val="false"/>
                <w:color w:val="0A0F1E"/>
                <w:sz w:val="20"/>
                <w:szCs w:val="20"/>
              </w:rPr>
              <w:t xml:space="preserve">Pro Subscription</w:t>
            </w:r>
          </w:p>
        </w:tc>
        <w:tc>
          <w:tcPr>
            <w:tcW w:type="dxa" w:w="4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20"/>
                <w:szCs w:val="20"/>
              </w:rPr>
              <w:t xml:space="preserve">RoboNexus Pro — advanced advisor, ad-free, price alerts, early access</w:t>
            </w:r>
          </w:p>
        </w:tc>
        <w:tc>
          <w:tcPr>
            <w:tcW w:type="dxa" w:w="1100"/>
            <w:tcBorders>
              <w:top w:val="single" w:color="E2E8F0" w:sz="1"/>
              <w:left w:val="single" w:color="E2E8F0" w:sz="1"/>
              <w:bottom w:val="single" w:color="E2E8F0" w:sz="1"/>
              <w:right w:val="single" w:color="E2E8F0" w:sz="1"/>
            </w:tcBorders>
            <w:shd w:fill="001A2E" w:val="clear"/>
            <w:tcMar>
              <w:top w:type="dxa" w:w="80"/>
              <w:left w:type="dxa" w:w="120"/>
              <w:bottom w:type="dxa" w:w="80"/>
              <w:right w:type="dxa" w:w="80"/>
            </w:tcMar>
          </w:tcPr>
          <w:p>
            <w:pPr>
              <w:jc w:val="center"/>
            </w:pPr>
            <w:r>
              <w:rPr>
                <w:rFonts w:ascii="Arial" w:cs="Arial" w:eastAsia="Arial" w:hAnsi="Arial"/>
                <w:b/>
                <w:bCs/>
                <w:color w:val="00C2FF"/>
                <w:sz w:val="20"/>
                <w:szCs w:val="20"/>
              </w:rPr>
              <w:t xml:space="preserve">P0</w:t>
            </w:r>
          </w:p>
        </w:tc>
        <w:tc>
          <w:tcPr>
            <w:tcW w:type="dxa" w:w="1500"/>
            <w:tcBorders>
              <w:top w:val="single" w:color="E2E8F0" w:sz="1"/>
              <w:left w:val="single" w:color="E2E8F0" w:sz="1"/>
              <w:bottom w:val="single" w:color="E2E8F0" w:sz="1"/>
              <w:right w:val="single" w:color="E2E8F0" w:sz="1"/>
            </w:tcBorders>
            <w:shd w:fill="F4F6FB" w:val="clear"/>
            <w:tcMar>
              <w:top w:type="dxa" w:w="80"/>
              <w:left w:type="dxa" w:w="120"/>
              <w:bottom w:type="dxa" w:w="80"/>
              <w:right w:type="dxa" w:w="80"/>
            </w:tcMar>
          </w:tcPr>
          <w:p>
            <w:r>
              <w:rPr>
                <w:rFonts w:ascii="Arial" w:cs="Arial" w:eastAsia="Arial" w:hAnsi="Arial"/>
                <w:b w:val="false"/>
                <w:bCs w:val="false"/>
                <w:color w:val="1A202C"/>
                <w:sz w:val="20"/>
                <w:szCs w:val="20"/>
              </w:rPr>
              <w:t xml:space="preserve">Phase 2</w:t>
            </w:r>
          </w:p>
        </w:tc>
      </w:tr>
      <w:tr>
        <w:trPr>
          <w:tblHeader w:val="false"/>
        </w:trPr>
        <w:tc>
          <w:tcPr>
            <w:tcW w:type="dxa" w:w="25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80"/>
            </w:tcMar>
          </w:tcPr>
          <w:p>
            <w:r>
              <w:rPr>
                <w:rFonts w:ascii="Arial" w:cs="Arial" w:eastAsia="Arial" w:hAnsi="Arial"/>
                <w:b w:val="false"/>
                <w:bCs w:val="false"/>
                <w:color w:val="0A0F1E"/>
                <w:sz w:val="20"/>
                <w:szCs w:val="20"/>
              </w:rPr>
              <w:t xml:space="preserve">AI Review Summaries</w:t>
            </w:r>
          </w:p>
        </w:tc>
        <w:tc>
          <w:tcPr>
            <w:tcW w:type="dxa" w:w="4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20"/>
                <w:szCs w:val="20"/>
              </w:rPr>
              <w:t xml:space="preserve">Claude-synthesized review summaries with citation to source reviews</w:t>
            </w:r>
          </w:p>
        </w:tc>
        <w:tc>
          <w:tcPr>
            <w:tcW w:type="dxa" w:w="1100"/>
            <w:tcBorders>
              <w:top w:val="single" w:color="E2E8F0" w:sz="1"/>
              <w:left w:val="single" w:color="E2E8F0" w:sz="1"/>
              <w:bottom w:val="single" w:color="E2E8F0" w:sz="1"/>
              <w:right w:val="single" w:color="E2E8F0" w:sz="1"/>
            </w:tcBorders>
            <w:shd w:fill="003D26" w:val="clear"/>
            <w:tcMar>
              <w:top w:type="dxa" w:w="80"/>
              <w:left w:type="dxa" w:w="120"/>
              <w:bottom w:type="dxa" w:w="80"/>
              <w:right w:type="dxa" w:w="80"/>
            </w:tcMar>
          </w:tcPr>
          <w:p>
            <w:pPr>
              <w:jc w:val="center"/>
            </w:pPr>
            <w:r>
              <w:rPr>
                <w:rFonts w:ascii="Arial" w:cs="Arial" w:eastAsia="Arial" w:hAnsi="Arial"/>
                <w:b/>
                <w:bCs/>
                <w:color w:val="00E5A0"/>
                <w:sz w:val="20"/>
                <w:szCs w:val="20"/>
              </w:rPr>
              <w:t xml:space="preserve">P1</w:t>
            </w:r>
          </w:p>
        </w:tc>
        <w:tc>
          <w:tcPr>
            <w:tcW w:type="dxa" w:w="1500"/>
            <w:tcBorders>
              <w:top w:val="single" w:color="E2E8F0" w:sz="1"/>
              <w:left w:val="single" w:color="E2E8F0" w:sz="1"/>
              <w:bottom w:val="single" w:color="E2E8F0" w:sz="1"/>
              <w:right w:val="single" w:color="E2E8F0" w:sz="1"/>
            </w:tcBorders>
            <w:shd w:fill="F4F6FB" w:val="clear"/>
            <w:tcMar>
              <w:top w:type="dxa" w:w="80"/>
              <w:left w:type="dxa" w:w="120"/>
              <w:bottom w:type="dxa" w:w="80"/>
              <w:right w:type="dxa" w:w="80"/>
            </w:tcMar>
          </w:tcPr>
          <w:p>
            <w:r>
              <w:rPr>
                <w:rFonts w:ascii="Arial" w:cs="Arial" w:eastAsia="Arial" w:hAnsi="Arial"/>
                <w:b w:val="false"/>
                <w:bCs w:val="false"/>
                <w:color w:val="1A202C"/>
                <w:sz w:val="20"/>
                <w:szCs w:val="20"/>
              </w:rPr>
              <w:t xml:space="preserve">Phase 2</w:t>
            </w:r>
          </w:p>
        </w:tc>
      </w:tr>
      <w:tr>
        <w:trPr>
          <w:tblHeader w:val="false"/>
        </w:trPr>
        <w:tc>
          <w:tcPr>
            <w:tcW w:type="dxa" w:w="25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80"/>
            </w:tcMar>
          </w:tcPr>
          <w:p>
            <w:r>
              <w:rPr>
                <w:rFonts w:ascii="Arial" w:cs="Arial" w:eastAsia="Arial" w:hAnsi="Arial"/>
                <w:b w:val="false"/>
                <w:bCs w:val="false"/>
                <w:color w:val="0A0F1E"/>
                <w:sz w:val="20"/>
                <w:szCs w:val="20"/>
              </w:rPr>
              <w:t xml:space="preserve">Video Reviews</w:t>
            </w:r>
          </w:p>
        </w:tc>
        <w:tc>
          <w:tcPr>
            <w:tcW w:type="dxa" w:w="4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20"/>
                <w:szCs w:val="20"/>
              </w:rPr>
              <w:t xml:space="preserve">Embedded + hosted video reviews, timestamped insight cards</w:t>
            </w:r>
          </w:p>
        </w:tc>
        <w:tc>
          <w:tcPr>
            <w:tcW w:type="dxa" w:w="1100"/>
            <w:tcBorders>
              <w:top w:val="single" w:color="E2E8F0" w:sz="1"/>
              <w:left w:val="single" w:color="E2E8F0" w:sz="1"/>
              <w:bottom w:val="single" w:color="E2E8F0" w:sz="1"/>
              <w:right w:val="single" w:color="E2E8F0" w:sz="1"/>
            </w:tcBorders>
            <w:shd w:fill="003D26" w:val="clear"/>
            <w:tcMar>
              <w:top w:type="dxa" w:w="80"/>
              <w:left w:type="dxa" w:w="120"/>
              <w:bottom w:type="dxa" w:w="80"/>
              <w:right w:type="dxa" w:w="80"/>
            </w:tcMar>
          </w:tcPr>
          <w:p>
            <w:pPr>
              <w:jc w:val="center"/>
            </w:pPr>
            <w:r>
              <w:rPr>
                <w:rFonts w:ascii="Arial" w:cs="Arial" w:eastAsia="Arial" w:hAnsi="Arial"/>
                <w:b/>
                <w:bCs/>
                <w:color w:val="00E5A0"/>
                <w:sz w:val="20"/>
                <w:szCs w:val="20"/>
              </w:rPr>
              <w:t xml:space="preserve">P1</w:t>
            </w:r>
          </w:p>
        </w:tc>
        <w:tc>
          <w:tcPr>
            <w:tcW w:type="dxa" w:w="1500"/>
            <w:tcBorders>
              <w:top w:val="single" w:color="E2E8F0" w:sz="1"/>
              <w:left w:val="single" w:color="E2E8F0" w:sz="1"/>
              <w:bottom w:val="single" w:color="E2E8F0" w:sz="1"/>
              <w:right w:val="single" w:color="E2E8F0" w:sz="1"/>
            </w:tcBorders>
            <w:shd w:fill="F4F6FB" w:val="clear"/>
            <w:tcMar>
              <w:top w:type="dxa" w:w="80"/>
              <w:left w:type="dxa" w:w="120"/>
              <w:bottom w:type="dxa" w:w="80"/>
              <w:right w:type="dxa" w:w="80"/>
            </w:tcMar>
          </w:tcPr>
          <w:p>
            <w:r>
              <w:rPr>
                <w:rFonts w:ascii="Arial" w:cs="Arial" w:eastAsia="Arial" w:hAnsi="Arial"/>
                <w:b w:val="false"/>
                <w:bCs w:val="false"/>
                <w:color w:val="1A202C"/>
                <w:sz w:val="20"/>
                <w:szCs w:val="20"/>
              </w:rPr>
              <w:t xml:space="preserve">Phase 2</w:t>
            </w:r>
          </w:p>
        </w:tc>
      </w:tr>
      <w:tr>
        <w:trPr>
          <w:tblHeader w:val="false"/>
        </w:trPr>
        <w:tc>
          <w:tcPr>
            <w:tcW w:type="dxa" w:w="25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80"/>
            </w:tcMar>
          </w:tcPr>
          <w:p>
            <w:r>
              <w:rPr>
                <w:rFonts w:ascii="Arial" w:cs="Arial" w:eastAsia="Arial" w:hAnsi="Arial"/>
                <w:b w:val="false"/>
                <w:bCs w:val="false"/>
                <w:color w:val="0A0F1E"/>
                <w:sz w:val="20"/>
                <w:szCs w:val="20"/>
              </w:rPr>
              <w:t xml:space="preserve">Forum / Community</w:t>
            </w:r>
          </w:p>
        </w:tc>
        <w:tc>
          <w:tcPr>
            <w:tcW w:type="dxa" w:w="4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20"/>
                <w:szCs w:val="20"/>
              </w:rPr>
              <w:t xml:space="preserve">Category forums, project showcase, question &amp; answer</w:t>
            </w:r>
          </w:p>
        </w:tc>
        <w:tc>
          <w:tcPr>
            <w:tcW w:type="dxa" w:w="1100"/>
            <w:tcBorders>
              <w:top w:val="single" w:color="E2E8F0" w:sz="1"/>
              <w:left w:val="single" w:color="E2E8F0" w:sz="1"/>
              <w:bottom w:val="single" w:color="E2E8F0" w:sz="1"/>
              <w:right w:val="single" w:color="E2E8F0" w:sz="1"/>
            </w:tcBorders>
            <w:shd w:fill="003D26" w:val="clear"/>
            <w:tcMar>
              <w:top w:type="dxa" w:w="80"/>
              <w:left w:type="dxa" w:w="120"/>
              <w:bottom w:type="dxa" w:w="80"/>
              <w:right w:type="dxa" w:w="80"/>
            </w:tcMar>
          </w:tcPr>
          <w:p>
            <w:pPr>
              <w:jc w:val="center"/>
            </w:pPr>
            <w:r>
              <w:rPr>
                <w:rFonts w:ascii="Arial" w:cs="Arial" w:eastAsia="Arial" w:hAnsi="Arial"/>
                <w:b/>
                <w:bCs/>
                <w:color w:val="00E5A0"/>
                <w:sz w:val="20"/>
                <w:szCs w:val="20"/>
              </w:rPr>
              <w:t xml:space="preserve">P1</w:t>
            </w:r>
          </w:p>
        </w:tc>
        <w:tc>
          <w:tcPr>
            <w:tcW w:type="dxa" w:w="1500"/>
            <w:tcBorders>
              <w:top w:val="single" w:color="E2E8F0" w:sz="1"/>
              <w:left w:val="single" w:color="E2E8F0" w:sz="1"/>
              <w:bottom w:val="single" w:color="E2E8F0" w:sz="1"/>
              <w:right w:val="single" w:color="E2E8F0" w:sz="1"/>
            </w:tcBorders>
            <w:shd w:fill="F4F6FB" w:val="clear"/>
            <w:tcMar>
              <w:top w:type="dxa" w:w="80"/>
              <w:left w:type="dxa" w:w="120"/>
              <w:bottom w:type="dxa" w:w="80"/>
              <w:right w:type="dxa" w:w="80"/>
            </w:tcMar>
          </w:tcPr>
          <w:p>
            <w:r>
              <w:rPr>
                <w:rFonts w:ascii="Arial" w:cs="Arial" w:eastAsia="Arial" w:hAnsi="Arial"/>
                <w:b w:val="false"/>
                <w:bCs w:val="false"/>
                <w:color w:val="1A202C"/>
                <w:sz w:val="20"/>
                <w:szCs w:val="20"/>
              </w:rPr>
              <w:t xml:space="preserve">Phase 2</w:t>
            </w:r>
          </w:p>
        </w:tc>
      </w:tr>
      <w:tr>
        <w:trPr>
          <w:tblHeader w:val="false"/>
        </w:trPr>
        <w:tc>
          <w:tcPr>
            <w:tcW w:type="dxa" w:w="25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80"/>
            </w:tcMar>
          </w:tcPr>
          <w:p>
            <w:r>
              <w:rPr>
                <w:rFonts w:ascii="Arial" w:cs="Arial" w:eastAsia="Arial" w:hAnsi="Arial"/>
                <w:b w:val="false"/>
                <w:bCs w:val="false"/>
                <w:color w:val="0A0F1E"/>
                <w:sz w:val="20"/>
                <w:szCs w:val="20"/>
              </w:rPr>
              <w:t xml:space="preserve">Parts &amp; Accessories</w:t>
            </w:r>
          </w:p>
        </w:tc>
        <w:tc>
          <w:tcPr>
            <w:tcW w:type="dxa" w:w="4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20"/>
                <w:szCs w:val="20"/>
              </w:rPr>
              <w:t xml:space="preserve">Marketplace extension for components, sensors, peripherals</w:t>
            </w:r>
          </w:p>
        </w:tc>
        <w:tc>
          <w:tcPr>
            <w:tcW w:type="dxa" w:w="1100"/>
            <w:tcBorders>
              <w:top w:val="single" w:color="E2E8F0" w:sz="1"/>
              <w:left w:val="single" w:color="E2E8F0" w:sz="1"/>
              <w:bottom w:val="single" w:color="E2E8F0" w:sz="1"/>
              <w:right w:val="single" w:color="E2E8F0" w:sz="1"/>
            </w:tcBorders>
            <w:shd w:fill="2D1500" w:val="clear"/>
            <w:tcMar>
              <w:top w:type="dxa" w:w="80"/>
              <w:left w:type="dxa" w:w="120"/>
              <w:bottom w:type="dxa" w:w="80"/>
              <w:right w:type="dxa" w:w="80"/>
            </w:tcMar>
          </w:tcPr>
          <w:p>
            <w:pPr>
              <w:jc w:val="center"/>
            </w:pPr>
            <w:r>
              <w:rPr>
                <w:rFonts w:ascii="Arial" w:cs="Arial" w:eastAsia="Arial" w:hAnsi="Arial"/>
                <w:b/>
                <w:bCs/>
                <w:color w:val="FF6B35"/>
                <w:sz w:val="20"/>
                <w:szCs w:val="20"/>
              </w:rPr>
              <w:t xml:space="preserve">P2</w:t>
            </w:r>
          </w:p>
        </w:tc>
        <w:tc>
          <w:tcPr>
            <w:tcW w:type="dxa" w:w="1500"/>
            <w:tcBorders>
              <w:top w:val="single" w:color="E2E8F0" w:sz="1"/>
              <w:left w:val="single" w:color="E2E8F0" w:sz="1"/>
              <w:bottom w:val="single" w:color="E2E8F0" w:sz="1"/>
              <w:right w:val="single" w:color="E2E8F0" w:sz="1"/>
            </w:tcBorders>
            <w:shd w:fill="F4F6FB" w:val="clear"/>
            <w:tcMar>
              <w:top w:type="dxa" w:w="80"/>
              <w:left w:type="dxa" w:w="120"/>
              <w:bottom w:type="dxa" w:w="80"/>
              <w:right w:type="dxa" w:w="80"/>
            </w:tcMar>
          </w:tcPr>
          <w:p>
            <w:r>
              <w:rPr>
                <w:rFonts w:ascii="Arial" w:cs="Arial" w:eastAsia="Arial" w:hAnsi="Arial"/>
                <w:b w:val="false"/>
                <w:bCs w:val="false"/>
                <w:color w:val="1A202C"/>
                <w:sz w:val="20"/>
                <w:szCs w:val="20"/>
              </w:rPr>
              <w:t xml:space="preserve">Phase 2</w:t>
            </w:r>
          </w:p>
        </w:tc>
      </w:tr>
      <w:tr>
        <w:trPr>
          <w:tblHeader w:val="false"/>
        </w:trPr>
        <w:tc>
          <w:tcPr>
            <w:tcW w:type="dxa" w:w="25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80"/>
            </w:tcMar>
          </w:tcPr>
          <w:p>
            <w:r>
              <w:rPr>
                <w:rFonts w:ascii="Arial" w:cs="Arial" w:eastAsia="Arial" w:hAnsi="Arial"/>
                <w:b w:val="false"/>
                <w:bCs w:val="false"/>
                <w:color w:val="0A0F1E"/>
                <w:sz w:val="20"/>
                <w:szCs w:val="20"/>
              </w:rPr>
              <w:t xml:space="preserve">Mobile App</w:t>
            </w:r>
          </w:p>
        </w:tc>
        <w:tc>
          <w:tcPr>
            <w:tcW w:type="dxa" w:w="4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20"/>
                <w:szCs w:val="20"/>
              </w:rPr>
              <w:t xml:space="preserve">iOS + Android — advisor, marketplace notifications, price alerts</w:t>
            </w:r>
          </w:p>
        </w:tc>
        <w:tc>
          <w:tcPr>
            <w:tcW w:type="dxa" w:w="1100"/>
            <w:tcBorders>
              <w:top w:val="single" w:color="E2E8F0" w:sz="1"/>
              <w:left w:val="single" w:color="E2E8F0" w:sz="1"/>
              <w:bottom w:val="single" w:color="E2E8F0" w:sz="1"/>
              <w:right w:val="single" w:color="E2E8F0" w:sz="1"/>
            </w:tcBorders>
            <w:shd w:fill="003D26" w:val="clear"/>
            <w:tcMar>
              <w:top w:type="dxa" w:w="80"/>
              <w:left w:type="dxa" w:w="120"/>
              <w:bottom w:type="dxa" w:w="80"/>
              <w:right w:type="dxa" w:w="80"/>
            </w:tcMar>
          </w:tcPr>
          <w:p>
            <w:pPr>
              <w:jc w:val="center"/>
            </w:pPr>
            <w:r>
              <w:rPr>
                <w:rFonts w:ascii="Arial" w:cs="Arial" w:eastAsia="Arial" w:hAnsi="Arial"/>
                <w:b/>
                <w:bCs/>
                <w:color w:val="00E5A0"/>
                <w:sz w:val="20"/>
                <w:szCs w:val="20"/>
              </w:rPr>
              <w:t xml:space="preserve">P1</w:t>
            </w:r>
          </w:p>
        </w:tc>
        <w:tc>
          <w:tcPr>
            <w:tcW w:type="dxa" w:w="1500"/>
            <w:tcBorders>
              <w:top w:val="single" w:color="E2E8F0" w:sz="1"/>
              <w:left w:val="single" w:color="E2E8F0" w:sz="1"/>
              <w:bottom w:val="single" w:color="E2E8F0" w:sz="1"/>
              <w:right w:val="single" w:color="E2E8F0" w:sz="1"/>
            </w:tcBorders>
            <w:shd w:fill="F4F6FB" w:val="clear"/>
            <w:tcMar>
              <w:top w:type="dxa" w:w="80"/>
              <w:left w:type="dxa" w:w="120"/>
              <w:bottom w:type="dxa" w:w="80"/>
              <w:right w:type="dxa" w:w="80"/>
            </w:tcMar>
          </w:tcPr>
          <w:p>
            <w:r>
              <w:rPr>
                <w:rFonts w:ascii="Arial" w:cs="Arial" w:eastAsia="Arial" w:hAnsi="Arial"/>
                <w:b w:val="false"/>
                <w:bCs w:val="false"/>
                <w:color w:val="1A202C"/>
                <w:sz w:val="20"/>
                <w:szCs w:val="20"/>
              </w:rPr>
              <w:t xml:space="preserve">Phase 2</w:t>
            </w:r>
          </w:p>
        </w:tc>
      </w:tr>
      <w:tr>
        <w:trPr>
          <w:tblHeader w:val="false"/>
        </w:trPr>
        <w:tc>
          <w:tcPr>
            <w:tcW w:type="dxa" w:w="25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80"/>
            </w:tcMar>
          </w:tcPr>
          <w:p>
            <w:r>
              <w:rPr>
                <w:rFonts w:ascii="Arial" w:cs="Arial" w:eastAsia="Arial" w:hAnsi="Arial"/>
                <w:b w:val="false"/>
                <w:bCs w:val="false"/>
                <w:color w:val="0A0F1E"/>
                <w:sz w:val="20"/>
                <w:szCs w:val="20"/>
              </w:rPr>
              <w:t xml:space="preserve">Developer API v1</w:t>
            </w:r>
          </w:p>
        </w:tc>
        <w:tc>
          <w:tcPr>
            <w:tcW w:type="dxa" w:w="4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20"/>
                <w:szCs w:val="20"/>
              </w:rPr>
              <w:t xml:space="preserve">Public API for robot data, reviews, pricing — freemium access</w:t>
            </w:r>
          </w:p>
        </w:tc>
        <w:tc>
          <w:tcPr>
            <w:tcW w:type="dxa" w:w="1100"/>
            <w:tcBorders>
              <w:top w:val="single" w:color="E2E8F0" w:sz="1"/>
              <w:left w:val="single" w:color="E2E8F0" w:sz="1"/>
              <w:bottom w:val="single" w:color="E2E8F0" w:sz="1"/>
              <w:right w:val="single" w:color="E2E8F0" w:sz="1"/>
            </w:tcBorders>
            <w:shd w:fill="2D1500" w:val="clear"/>
            <w:tcMar>
              <w:top w:type="dxa" w:w="80"/>
              <w:left w:type="dxa" w:w="120"/>
              <w:bottom w:type="dxa" w:w="80"/>
              <w:right w:type="dxa" w:w="80"/>
            </w:tcMar>
          </w:tcPr>
          <w:p>
            <w:pPr>
              <w:jc w:val="center"/>
            </w:pPr>
            <w:r>
              <w:rPr>
                <w:rFonts w:ascii="Arial" w:cs="Arial" w:eastAsia="Arial" w:hAnsi="Arial"/>
                <w:b/>
                <w:bCs/>
                <w:color w:val="FF6B35"/>
                <w:sz w:val="20"/>
                <w:szCs w:val="20"/>
              </w:rPr>
              <w:t xml:space="preserve">P2</w:t>
            </w:r>
          </w:p>
        </w:tc>
        <w:tc>
          <w:tcPr>
            <w:tcW w:type="dxa" w:w="1500"/>
            <w:tcBorders>
              <w:top w:val="single" w:color="E2E8F0" w:sz="1"/>
              <w:left w:val="single" w:color="E2E8F0" w:sz="1"/>
              <w:bottom w:val="single" w:color="E2E8F0" w:sz="1"/>
              <w:right w:val="single" w:color="E2E8F0" w:sz="1"/>
            </w:tcBorders>
            <w:shd w:fill="F4F6FB" w:val="clear"/>
            <w:tcMar>
              <w:top w:type="dxa" w:w="80"/>
              <w:left w:type="dxa" w:w="120"/>
              <w:bottom w:type="dxa" w:w="80"/>
              <w:right w:type="dxa" w:w="80"/>
            </w:tcMar>
          </w:tcPr>
          <w:p>
            <w:r>
              <w:rPr>
                <w:rFonts w:ascii="Arial" w:cs="Arial" w:eastAsia="Arial" w:hAnsi="Arial"/>
                <w:b w:val="false"/>
                <w:bCs w:val="false"/>
                <w:color w:val="1A202C"/>
                <w:sz w:val="20"/>
                <w:szCs w:val="20"/>
              </w:rPr>
              <w:t xml:space="preserve">Phase 2</w:t>
            </w:r>
          </w:p>
        </w:tc>
      </w:tr>
    </w:tbl>
    <w:p>
      <w:pPr>
        <w:spacing w:after="0" w:before="120"/>
      </w:pPr>
      <w:r>
        <w:t xml:space="preserve"/>
      </w:r>
    </w:p>
    <w:p>
      <w:pPr>
        <w:pStyle w:val="Heading2"/>
        <w:spacing w:after="160" w:before="360"/>
      </w:pPr>
      <w:r>
        <w:rPr>
          <w:rFonts w:ascii="Arial" w:cs="Arial" w:eastAsia="Arial" w:hAnsi="Arial"/>
          <w:b/>
          <w:bCs/>
          <w:color w:val="0A0F1E"/>
          <w:sz w:val="30"/>
          <w:szCs w:val="30"/>
        </w:rPr>
        <w:t xml:space="preserve">Phase 3 — Enterprise &amp; Intelligence (Months 15-24)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260"/>
        <w:gridCol w:w="1100"/>
        <w:gridCol w:w="1500"/>
      </w:tblGrid>
      <w:tr>
        <w:trPr>
          <w:tblHeader/>
        </w:trPr>
        <w:tc>
          <w:tcPr>
            <w:tcW w:type="dxa" w:w="2500"/>
            <w:tcBorders>
              <w:top w:val="single" w:color="E2E8F0" w:sz="1"/>
              <w:left w:val="single" w:color="E2E8F0" w:sz="1"/>
              <w:bottom w:val="single" w:color="E2E8F0" w:sz="1"/>
              <w:right w:val="single" w:color="E2E8F0" w:sz="1"/>
            </w:tcBorders>
            <w:shd w:fill="0A0F1E" w:val="clear"/>
            <w:tcMar>
              <w:top w:type="dxa" w:w="80"/>
              <w:left w:type="dxa" w:w="160"/>
              <w:bottom w:type="dxa" w:w="80"/>
              <w:right w:type="dxa" w:w="80"/>
            </w:tcMar>
          </w:tcPr>
          <w:p>
            <w:r>
              <w:rPr>
                <w:rFonts w:ascii="Arial" w:cs="Arial" w:eastAsia="Arial" w:hAnsi="Arial"/>
                <w:b/>
                <w:bCs/>
                <w:color w:val="FFFFFF"/>
                <w:sz w:val="20"/>
                <w:szCs w:val="20"/>
              </w:rPr>
              <w:t xml:space="preserve">Feature</w:t>
            </w:r>
          </w:p>
        </w:tc>
        <w:tc>
          <w:tcPr>
            <w:tcW w:type="dxa" w:w="4260"/>
            <w:tcBorders>
              <w:top w:val="single" w:color="E2E8F0" w:sz="1"/>
              <w:left w:val="single" w:color="E2E8F0" w:sz="1"/>
              <w:bottom w:val="single" w:color="E2E8F0" w:sz="1"/>
              <w:right w:val="single" w:color="E2E8F0" w:sz="1"/>
            </w:tcBorders>
            <w:shd w:fill="0A0F1E" w:val="clear"/>
            <w:tcMar>
              <w:top w:type="dxa" w:w="80"/>
              <w:left w:type="dxa" w:w="120"/>
              <w:bottom w:type="dxa" w:w="80"/>
              <w:right w:type="dxa" w:w="80"/>
            </w:tcMar>
          </w:tcPr>
          <w:p>
            <w:r>
              <w:rPr>
                <w:rFonts w:ascii="Arial" w:cs="Arial" w:eastAsia="Arial" w:hAnsi="Arial"/>
                <w:b/>
                <w:bCs/>
                <w:color w:val="FFFFFF"/>
                <w:sz w:val="20"/>
                <w:szCs w:val="20"/>
              </w:rPr>
              <w:t xml:space="preserve">Description</w:t>
            </w:r>
          </w:p>
        </w:tc>
        <w:tc>
          <w:tcPr>
            <w:tcW w:type="dxa" w:w="1100"/>
            <w:tcBorders>
              <w:top w:val="single" w:color="E2E8F0" w:sz="1"/>
              <w:left w:val="single" w:color="E2E8F0" w:sz="1"/>
              <w:bottom w:val="single" w:color="E2E8F0" w:sz="1"/>
              <w:right w:val="single" w:color="E2E8F0" w:sz="1"/>
            </w:tcBorders>
            <w:shd w:fill="0A0F1E"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Pri</w:t>
            </w:r>
          </w:p>
        </w:tc>
        <w:tc>
          <w:tcPr>
            <w:tcW w:type="dxa" w:w="1500"/>
            <w:tcBorders>
              <w:top w:val="single" w:color="E2E8F0" w:sz="1"/>
              <w:left w:val="single" w:color="E2E8F0" w:sz="1"/>
              <w:bottom w:val="single" w:color="E2E8F0" w:sz="1"/>
              <w:right w:val="single" w:color="E2E8F0" w:sz="1"/>
            </w:tcBorders>
            <w:shd w:fill="0A0F1E" w:val="clear"/>
            <w:tcMar>
              <w:top w:type="dxa" w:w="80"/>
              <w:left w:type="dxa" w:w="120"/>
              <w:bottom w:type="dxa" w:w="80"/>
              <w:right w:type="dxa" w:w="80"/>
            </w:tcMar>
          </w:tcPr>
          <w:p>
            <w:r>
              <w:rPr>
                <w:rFonts w:ascii="Arial" w:cs="Arial" w:eastAsia="Arial" w:hAnsi="Arial"/>
                <w:b/>
                <w:bCs/>
                <w:color w:val="FFFFFF"/>
                <w:sz w:val="20"/>
                <w:szCs w:val="20"/>
              </w:rPr>
              <w:t xml:space="preserve">Phase</w:t>
            </w:r>
          </w:p>
        </w:tc>
      </w:tr>
      <w:tr>
        <w:trPr>
          <w:tblHeader w:val="false"/>
        </w:trPr>
        <w:tc>
          <w:tcPr>
            <w:tcW w:type="dxa" w:w="25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80"/>
            </w:tcMar>
          </w:tcPr>
          <w:p>
            <w:r>
              <w:rPr>
                <w:rFonts w:ascii="Arial" w:cs="Arial" w:eastAsia="Arial" w:hAnsi="Arial"/>
                <w:b w:val="false"/>
                <w:bCs w:val="false"/>
                <w:color w:val="0A0F1E"/>
                <w:sz w:val="20"/>
                <w:szCs w:val="20"/>
              </w:rPr>
              <w:t xml:space="preserve">Enterprise Dashboard</w:t>
            </w:r>
          </w:p>
        </w:tc>
        <w:tc>
          <w:tcPr>
            <w:tcW w:type="dxa" w:w="4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20"/>
                <w:szCs w:val="20"/>
              </w:rPr>
              <w:t xml:space="preserve">Multi-robot fleet management, vendor tracking, ROI reporting</w:t>
            </w:r>
          </w:p>
        </w:tc>
        <w:tc>
          <w:tcPr>
            <w:tcW w:type="dxa" w:w="1100"/>
            <w:tcBorders>
              <w:top w:val="single" w:color="E2E8F0" w:sz="1"/>
              <w:left w:val="single" w:color="E2E8F0" w:sz="1"/>
              <w:bottom w:val="single" w:color="E2E8F0" w:sz="1"/>
              <w:right w:val="single" w:color="E2E8F0" w:sz="1"/>
            </w:tcBorders>
            <w:shd w:fill="001A2E" w:val="clear"/>
            <w:tcMar>
              <w:top w:type="dxa" w:w="80"/>
              <w:left w:type="dxa" w:w="120"/>
              <w:bottom w:type="dxa" w:w="80"/>
              <w:right w:type="dxa" w:w="80"/>
            </w:tcMar>
          </w:tcPr>
          <w:p>
            <w:pPr>
              <w:jc w:val="center"/>
            </w:pPr>
            <w:r>
              <w:rPr>
                <w:rFonts w:ascii="Arial" w:cs="Arial" w:eastAsia="Arial" w:hAnsi="Arial"/>
                <w:b/>
                <w:bCs/>
                <w:color w:val="00C2FF"/>
                <w:sz w:val="20"/>
                <w:szCs w:val="20"/>
              </w:rPr>
              <w:t xml:space="preserve">P0</w:t>
            </w:r>
          </w:p>
        </w:tc>
        <w:tc>
          <w:tcPr>
            <w:tcW w:type="dxa" w:w="1500"/>
            <w:tcBorders>
              <w:top w:val="single" w:color="E2E8F0" w:sz="1"/>
              <w:left w:val="single" w:color="E2E8F0" w:sz="1"/>
              <w:bottom w:val="single" w:color="E2E8F0" w:sz="1"/>
              <w:right w:val="single" w:color="E2E8F0" w:sz="1"/>
            </w:tcBorders>
            <w:shd w:fill="F4F6FB" w:val="clear"/>
            <w:tcMar>
              <w:top w:type="dxa" w:w="80"/>
              <w:left w:type="dxa" w:w="120"/>
              <w:bottom w:type="dxa" w:w="80"/>
              <w:right w:type="dxa" w:w="80"/>
            </w:tcMar>
          </w:tcPr>
          <w:p>
            <w:r>
              <w:rPr>
                <w:rFonts w:ascii="Arial" w:cs="Arial" w:eastAsia="Arial" w:hAnsi="Arial"/>
                <w:b w:val="false"/>
                <w:bCs w:val="false"/>
                <w:color w:val="1A202C"/>
                <w:sz w:val="20"/>
                <w:szCs w:val="20"/>
              </w:rPr>
              <w:t xml:space="preserve">Phase 3</w:t>
            </w:r>
          </w:p>
        </w:tc>
      </w:tr>
      <w:tr>
        <w:trPr>
          <w:tblHeader w:val="false"/>
        </w:trPr>
        <w:tc>
          <w:tcPr>
            <w:tcW w:type="dxa" w:w="25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80"/>
            </w:tcMar>
          </w:tcPr>
          <w:p>
            <w:r>
              <w:rPr>
                <w:rFonts w:ascii="Arial" w:cs="Arial" w:eastAsia="Arial" w:hAnsi="Arial"/>
                <w:b w:val="false"/>
                <w:bCs w:val="false"/>
                <w:color w:val="0A0F1E"/>
                <w:sz w:val="20"/>
                <w:szCs w:val="20"/>
              </w:rPr>
              <w:t xml:space="preserve">Market Intelligence</w:t>
            </w:r>
          </w:p>
        </w:tc>
        <w:tc>
          <w:tcPr>
            <w:tcW w:type="dxa" w:w="4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20"/>
                <w:szCs w:val="20"/>
              </w:rPr>
              <w:t xml:space="preserve">Paid reports — segment analysis, vendor benchmarks, buyer surveys</w:t>
            </w:r>
          </w:p>
        </w:tc>
        <w:tc>
          <w:tcPr>
            <w:tcW w:type="dxa" w:w="1100"/>
            <w:tcBorders>
              <w:top w:val="single" w:color="E2E8F0" w:sz="1"/>
              <w:left w:val="single" w:color="E2E8F0" w:sz="1"/>
              <w:bottom w:val="single" w:color="E2E8F0" w:sz="1"/>
              <w:right w:val="single" w:color="E2E8F0" w:sz="1"/>
            </w:tcBorders>
            <w:shd w:fill="001A2E" w:val="clear"/>
            <w:tcMar>
              <w:top w:type="dxa" w:w="80"/>
              <w:left w:type="dxa" w:w="120"/>
              <w:bottom w:type="dxa" w:w="80"/>
              <w:right w:type="dxa" w:w="80"/>
            </w:tcMar>
          </w:tcPr>
          <w:p>
            <w:pPr>
              <w:jc w:val="center"/>
            </w:pPr>
            <w:r>
              <w:rPr>
                <w:rFonts w:ascii="Arial" w:cs="Arial" w:eastAsia="Arial" w:hAnsi="Arial"/>
                <w:b/>
                <w:bCs/>
                <w:color w:val="00C2FF"/>
                <w:sz w:val="20"/>
                <w:szCs w:val="20"/>
              </w:rPr>
              <w:t xml:space="preserve">P0</w:t>
            </w:r>
          </w:p>
        </w:tc>
        <w:tc>
          <w:tcPr>
            <w:tcW w:type="dxa" w:w="1500"/>
            <w:tcBorders>
              <w:top w:val="single" w:color="E2E8F0" w:sz="1"/>
              <w:left w:val="single" w:color="E2E8F0" w:sz="1"/>
              <w:bottom w:val="single" w:color="E2E8F0" w:sz="1"/>
              <w:right w:val="single" w:color="E2E8F0" w:sz="1"/>
            </w:tcBorders>
            <w:shd w:fill="F4F6FB" w:val="clear"/>
            <w:tcMar>
              <w:top w:type="dxa" w:w="80"/>
              <w:left w:type="dxa" w:w="120"/>
              <w:bottom w:type="dxa" w:w="80"/>
              <w:right w:type="dxa" w:w="80"/>
            </w:tcMar>
          </w:tcPr>
          <w:p>
            <w:r>
              <w:rPr>
                <w:rFonts w:ascii="Arial" w:cs="Arial" w:eastAsia="Arial" w:hAnsi="Arial"/>
                <w:b w:val="false"/>
                <w:bCs w:val="false"/>
                <w:color w:val="1A202C"/>
                <w:sz w:val="20"/>
                <w:szCs w:val="20"/>
              </w:rPr>
              <w:t xml:space="preserve">Phase 3</w:t>
            </w:r>
          </w:p>
        </w:tc>
      </w:tr>
      <w:tr>
        <w:trPr>
          <w:tblHeader w:val="false"/>
        </w:trPr>
        <w:tc>
          <w:tcPr>
            <w:tcW w:type="dxa" w:w="25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80"/>
            </w:tcMar>
          </w:tcPr>
          <w:p>
            <w:r>
              <w:rPr>
                <w:rFonts w:ascii="Arial" w:cs="Arial" w:eastAsia="Arial" w:hAnsi="Arial"/>
                <w:b w:val="false"/>
                <w:bCs w:val="false"/>
                <w:color w:val="0A0F1E"/>
                <w:sz w:val="20"/>
                <w:szCs w:val="20"/>
              </w:rPr>
              <w:t xml:space="preserve">White-Label Platform</w:t>
            </w:r>
          </w:p>
        </w:tc>
        <w:tc>
          <w:tcPr>
            <w:tcW w:type="dxa" w:w="4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20"/>
                <w:szCs w:val="20"/>
              </w:rPr>
              <w:t xml:space="preserve">Licensing to distributors, retailers, system integrators</w:t>
            </w:r>
          </w:p>
        </w:tc>
        <w:tc>
          <w:tcPr>
            <w:tcW w:type="dxa" w:w="1100"/>
            <w:tcBorders>
              <w:top w:val="single" w:color="E2E8F0" w:sz="1"/>
              <w:left w:val="single" w:color="E2E8F0" w:sz="1"/>
              <w:bottom w:val="single" w:color="E2E8F0" w:sz="1"/>
              <w:right w:val="single" w:color="E2E8F0" w:sz="1"/>
            </w:tcBorders>
            <w:shd w:fill="003D26" w:val="clear"/>
            <w:tcMar>
              <w:top w:type="dxa" w:w="80"/>
              <w:left w:type="dxa" w:w="120"/>
              <w:bottom w:type="dxa" w:w="80"/>
              <w:right w:type="dxa" w:w="80"/>
            </w:tcMar>
          </w:tcPr>
          <w:p>
            <w:pPr>
              <w:jc w:val="center"/>
            </w:pPr>
            <w:r>
              <w:rPr>
                <w:rFonts w:ascii="Arial" w:cs="Arial" w:eastAsia="Arial" w:hAnsi="Arial"/>
                <w:b/>
                <w:bCs/>
                <w:color w:val="00E5A0"/>
                <w:sz w:val="20"/>
                <w:szCs w:val="20"/>
              </w:rPr>
              <w:t xml:space="preserve">P1</w:t>
            </w:r>
          </w:p>
        </w:tc>
        <w:tc>
          <w:tcPr>
            <w:tcW w:type="dxa" w:w="1500"/>
            <w:tcBorders>
              <w:top w:val="single" w:color="E2E8F0" w:sz="1"/>
              <w:left w:val="single" w:color="E2E8F0" w:sz="1"/>
              <w:bottom w:val="single" w:color="E2E8F0" w:sz="1"/>
              <w:right w:val="single" w:color="E2E8F0" w:sz="1"/>
            </w:tcBorders>
            <w:shd w:fill="F4F6FB" w:val="clear"/>
            <w:tcMar>
              <w:top w:type="dxa" w:w="80"/>
              <w:left w:type="dxa" w:w="120"/>
              <w:bottom w:type="dxa" w:w="80"/>
              <w:right w:type="dxa" w:w="80"/>
            </w:tcMar>
          </w:tcPr>
          <w:p>
            <w:r>
              <w:rPr>
                <w:rFonts w:ascii="Arial" w:cs="Arial" w:eastAsia="Arial" w:hAnsi="Arial"/>
                <w:b w:val="false"/>
                <w:bCs w:val="false"/>
                <w:color w:val="1A202C"/>
                <w:sz w:val="20"/>
                <w:szCs w:val="20"/>
              </w:rPr>
              <w:t xml:space="preserve">Phase 3</w:t>
            </w:r>
          </w:p>
        </w:tc>
      </w:tr>
      <w:tr>
        <w:trPr>
          <w:tblHeader w:val="false"/>
        </w:trPr>
        <w:tc>
          <w:tcPr>
            <w:tcW w:type="dxa" w:w="25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80"/>
            </w:tcMar>
          </w:tcPr>
          <w:p>
            <w:r>
              <w:rPr>
                <w:rFonts w:ascii="Arial" w:cs="Arial" w:eastAsia="Arial" w:hAnsi="Arial"/>
                <w:b w:val="false"/>
                <w:bCs w:val="false"/>
                <w:color w:val="0A0F1E"/>
                <w:sz w:val="20"/>
                <w:szCs w:val="20"/>
              </w:rPr>
              <w:t xml:space="preserve">RoboFleet API</w:t>
            </w:r>
          </w:p>
        </w:tc>
        <w:tc>
          <w:tcPr>
            <w:tcW w:type="dxa" w:w="4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20"/>
                <w:szCs w:val="20"/>
              </w:rPr>
              <w:t xml:space="preserve">REST + streaming API for fleet telemetry aggregation and analytics</w:t>
            </w:r>
          </w:p>
        </w:tc>
        <w:tc>
          <w:tcPr>
            <w:tcW w:type="dxa" w:w="1100"/>
            <w:tcBorders>
              <w:top w:val="single" w:color="E2E8F0" w:sz="1"/>
              <w:left w:val="single" w:color="E2E8F0" w:sz="1"/>
              <w:bottom w:val="single" w:color="E2E8F0" w:sz="1"/>
              <w:right w:val="single" w:color="E2E8F0" w:sz="1"/>
            </w:tcBorders>
            <w:shd w:fill="003D26" w:val="clear"/>
            <w:tcMar>
              <w:top w:type="dxa" w:w="80"/>
              <w:left w:type="dxa" w:w="120"/>
              <w:bottom w:type="dxa" w:w="80"/>
              <w:right w:type="dxa" w:w="80"/>
            </w:tcMar>
          </w:tcPr>
          <w:p>
            <w:pPr>
              <w:jc w:val="center"/>
            </w:pPr>
            <w:r>
              <w:rPr>
                <w:rFonts w:ascii="Arial" w:cs="Arial" w:eastAsia="Arial" w:hAnsi="Arial"/>
                <w:b/>
                <w:bCs/>
                <w:color w:val="00E5A0"/>
                <w:sz w:val="20"/>
                <w:szCs w:val="20"/>
              </w:rPr>
              <w:t xml:space="preserve">P1</w:t>
            </w:r>
          </w:p>
        </w:tc>
        <w:tc>
          <w:tcPr>
            <w:tcW w:type="dxa" w:w="1500"/>
            <w:tcBorders>
              <w:top w:val="single" w:color="E2E8F0" w:sz="1"/>
              <w:left w:val="single" w:color="E2E8F0" w:sz="1"/>
              <w:bottom w:val="single" w:color="E2E8F0" w:sz="1"/>
              <w:right w:val="single" w:color="E2E8F0" w:sz="1"/>
            </w:tcBorders>
            <w:shd w:fill="F4F6FB" w:val="clear"/>
            <w:tcMar>
              <w:top w:type="dxa" w:w="80"/>
              <w:left w:type="dxa" w:w="120"/>
              <w:bottom w:type="dxa" w:w="80"/>
              <w:right w:type="dxa" w:w="80"/>
            </w:tcMar>
          </w:tcPr>
          <w:p>
            <w:r>
              <w:rPr>
                <w:rFonts w:ascii="Arial" w:cs="Arial" w:eastAsia="Arial" w:hAnsi="Arial"/>
                <w:b w:val="false"/>
                <w:bCs w:val="false"/>
                <w:color w:val="1A202C"/>
                <w:sz w:val="20"/>
                <w:szCs w:val="20"/>
              </w:rPr>
              <w:t xml:space="preserve">Phase 3</w:t>
            </w:r>
          </w:p>
        </w:tc>
      </w:tr>
      <w:tr>
        <w:trPr>
          <w:tblHeader w:val="false"/>
        </w:trPr>
        <w:tc>
          <w:tcPr>
            <w:tcW w:type="dxa" w:w="25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80"/>
            </w:tcMar>
          </w:tcPr>
          <w:p>
            <w:r>
              <w:rPr>
                <w:rFonts w:ascii="Arial" w:cs="Arial" w:eastAsia="Arial" w:hAnsi="Arial"/>
                <w:b w:val="false"/>
                <w:bCs w:val="false"/>
                <w:color w:val="0A0F1E"/>
                <w:sz w:val="20"/>
                <w:szCs w:val="20"/>
              </w:rPr>
              <w:t xml:space="preserve">Certified Refurb</w:t>
            </w:r>
          </w:p>
        </w:tc>
        <w:tc>
          <w:tcPr>
            <w:tcW w:type="dxa" w:w="4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20"/>
                <w:szCs w:val="20"/>
              </w:rPr>
              <w:t xml:space="preserve">RoboNexus-inspected refurbished program with warranty</w:t>
            </w:r>
          </w:p>
        </w:tc>
        <w:tc>
          <w:tcPr>
            <w:tcW w:type="dxa" w:w="1100"/>
            <w:tcBorders>
              <w:top w:val="single" w:color="E2E8F0" w:sz="1"/>
              <w:left w:val="single" w:color="E2E8F0" w:sz="1"/>
              <w:bottom w:val="single" w:color="E2E8F0" w:sz="1"/>
              <w:right w:val="single" w:color="E2E8F0" w:sz="1"/>
            </w:tcBorders>
            <w:shd w:fill="003D26" w:val="clear"/>
            <w:tcMar>
              <w:top w:type="dxa" w:w="80"/>
              <w:left w:type="dxa" w:w="120"/>
              <w:bottom w:type="dxa" w:w="80"/>
              <w:right w:type="dxa" w:w="80"/>
            </w:tcMar>
          </w:tcPr>
          <w:p>
            <w:pPr>
              <w:jc w:val="center"/>
            </w:pPr>
            <w:r>
              <w:rPr>
                <w:rFonts w:ascii="Arial" w:cs="Arial" w:eastAsia="Arial" w:hAnsi="Arial"/>
                <w:b/>
                <w:bCs/>
                <w:color w:val="00E5A0"/>
                <w:sz w:val="20"/>
                <w:szCs w:val="20"/>
              </w:rPr>
              <w:t xml:space="preserve">P1</w:t>
            </w:r>
          </w:p>
        </w:tc>
        <w:tc>
          <w:tcPr>
            <w:tcW w:type="dxa" w:w="1500"/>
            <w:tcBorders>
              <w:top w:val="single" w:color="E2E8F0" w:sz="1"/>
              <w:left w:val="single" w:color="E2E8F0" w:sz="1"/>
              <w:bottom w:val="single" w:color="E2E8F0" w:sz="1"/>
              <w:right w:val="single" w:color="E2E8F0" w:sz="1"/>
            </w:tcBorders>
            <w:shd w:fill="F4F6FB" w:val="clear"/>
            <w:tcMar>
              <w:top w:type="dxa" w:w="80"/>
              <w:left w:type="dxa" w:w="120"/>
              <w:bottom w:type="dxa" w:w="80"/>
              <w:right w:type="dxa" w:w="80"/>
            </w:tcMar>
          </w:tcPr>
          <w:p>
            <w:r>
              <w:rPr>
                <w:rFonts w:ascii="Arial" w:cs="Arial" w:eastAsia="Arial" w:hAnsi="Arial"/>
                <w:b w:val="false"/>
                <w:bCs w:val="false"/>
                <w:color w:val="1A202C"/>
                <w:sz w:val="20"/>
                <w:szCs w:val="20"/>
              </w:rPr>
              <w:t xml:space="preserve">Phase 3</w:t>
            </w:r>
          </w:p>
        </w:tc>
      </w:tr>
      <w:tr>
        <w:trPr>
          <w:tblHeader w:val="false"/>
        </w:trPr>
        <w:tc>
          <w:tcPr>
            <w:tcW w:type="dxa" w:w="25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80"/>
            </w:tcMar>
          </w:tcPr>
          <w:p>
            <w:r>
              <w:rPr>
                <w:rFonts w:ascii="Arial" w:cs="Arial" w:eastAsia="Arial" w:hAnsi="Arial"/>
                <w:b w:val="false"/>
                <w:bCs w:val="false"/>
                <w:color w:val="0A0F1E"/>
                <w:sz w:val="20"/>
                <w:szCs w:val="20"/>
              </w:rPr>
              <w:t xml:space="preserve">Integration Hub</w:t>
            </w:r>
          </w:p>
        </w:tc>
        <w:tc>
          <w:tcPr>
            <w:tcW w:type="dxa" w:w="4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20"/>
                <w:szCs w:val="20"/>
              </w:rPr>
              <w:t xml:space="preserve">Pre-built connectors: SAP, Salesforce, ServiceNow, Slack, Home Assistant</w:t>
            </w:r>
          </w:p>
        </w:tc>
        <w:tc>
          <w:tcPr>
            <w:tcW w:type="dxa" w:w="1100"/>
            <w:tcBorders>
              <w:top w:val="single" w:color="E2E8F0" w:sz="1"/>
              <w:left w:val="single" w:color="E2E8F0" w:sz="1"/>
              <w:bottom w:val="single" w:color="E2E8F0" w:sz="1"/>
              <w:right w:val="single" w:color="E2E8F0" w:sz="1"/>
            </w:tcBorders>
            <w:shd w:fill="2D1500" w:val="clear"/>
            <w:tcMar>
              <w:top w:type="dxa" w:w="80"/>
              <w:left w:type="dxa" w:w="120"/>
              <w:bottom w:type="dxa" w:w="80"/>
              <w:right w:type="dxa" w:w="80"/>
            </w:tcMar>
          </w:tcPr>
          <w:p>
            <w:pPr>
              <w:jc w:val="center"/>
            </w:pPr>
            <w:r>
              <w:rPr>
                <w:rFonts w:ascii="Arial" w:cs="Arial" w:eastAsia="Arial" w:hAnsi="Arial"/>
                <w:b/>
                <w:bCs/>
                <w:color w:val="FF6B35"/>
                <w:sz w:val="20"/>
                <w:szCs w:val="20"/>
              </w:rPr>
              <w:t xml:space="preserve">P2</w:t>
            </w:r>
          </w:p>
        </w:tc>
        <w:tc>
          <w:tcPr>
            <w:tcW w:type="dxa" w:w="1500"/>
            <w:tcBorders>
              <w:top w:val="single" w:color="E2E8F0" w:sz="1"/>
              <w:left w:val="single" w:color="E2E8F0" w:sz="1"/>
              <w:bottom w:val="single" w:color="E2E8F0" w:sz="1"/>
              <w:right w:val="single" w:color="E2E8F0" w:sz="1"/>
            </w:tcBorders>
            <w:shd w:fill="F4F6FB" w:val="clear"/>
            <w:tcMar>
              <w:top w:type="dxa" w:w="80"/>
              <w:left w:type="dxa" w:w="120"/>
              <w:bottom w:type="dxa" w:w="80"/>
              <w:right w:type="dxa" w:w="80"/>
            </w:tcMar>
          </w:tcPr>
          <w:p>
            <w:r>
              <w:rPr>
                <w:rFonts w:ascii="Arial" w:cs="Arial" w:eastAsia="Arial" w:hAnsi="Arial"/>
                <w:b w:val="false"/>
                <w:bCs w:val="false"/>
                <w:color w:val="1A202C"/>
                <w:sz w:val="20"/>
                <w:szCs w:val="20"/>
              </w:rPr>
              <w:t xml:space="preserve">Phase 3</w:t>
            </w:r>
          </w:p>
        </w:tc>
      </w:tr>
      <w:tr>
        <w:trPr>
          <w:tblHeader w:val="false"/>
        </w:trPr>
        <w:tc>
          <w:tcPr>
            <w:tcW w:type="dxa" w:w="25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80"/>
            </w:tcMar>
          </w:tcPr>
          <w:p>
            <w:r>
              <w:rPr>
                <w:rFonts w:ascii="Arial" w:cs="Arial" w:eastAsia="Arial" w:hAnsi="Arial"/>
                <w:b w:val="false"/>
                <w:bCs w:val="false"/>
                <w:color w:val="0A0F1E"/>
                <w:sz w:val="20"/>
                <w:szCs w:val="20"/>
              </w:rPr>
              <w:t xml:space="preserve">Simulation Lab</w:t>
            </w:r>
          </w:p>
        </w:tc>
        <w:tc>
          <w:tcPr>
            <w:tcW w:type="dxa" w:w="4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20"/>
                <w:szCs w:val="20"/>
              </w:rPr>
              <w:t xml:space="preserve">Browser-based robot simulation for pre-purchase testing and training</w:t>
            </w:r>
          </w:p>
        </w:tc>
        <w:tc>
          <w:tcPr>
            <w:tcW w:type="dxa" w:w="1100"/>
            <w:tcBorders>
              <w:top w:val="single" w:color="E2E8F0" w:sz="1"/>
              <w:left w:val="single" w:color="E2E8F0" w:sz="1"/>
              <w:bottom w:val="single" w:color="E2E8F0" w:sz="1"/>
              <w:right w:val="single" w:color="E2E8F0" w:sz="1"/>
            </w:tcBorders>
            <w:shd w:fill="2D1500" w:val="clear"/>
            <w:tcMar>
              <w:top w:type="dxa" w:w="80"/>
              <w:left w:type="dxa" w:w="120"/>
              <w:bottom w:type="dxa" w:w="80"/>
              <w:right w:type="dxa" w:w="80"/>
            </w:tcMar>
          </w:tcPr>
          <w:p>
            <w:pPr>
              <w:jc w:val="center"/>
            </w:pPr>
            <w:r>
              <w:rPr>
                <w:rFonts w:ascii="Arial" w:cs="Arial" w:eastAsia="Arial" w:hAnsi="Arial"/>
                <w:b/>
                <w:bCs/>
                <w:color w:val="FF6B35"/>
                <w:sz w:val="20"/>
                <w:szCs w:val="20"/>
              </w:rPr>
              <w:t xml:space="preserve">P2</w:t>
            </w:r>
          </w:p>
        </w:tc>
        <w:tc>
          <w:tcPr>
            <w:tcW w:type="dxa" w:w="1500"/>
            <w:tcBorders>
              <w:top w:val="single" w:color="E2E8F0" w:sz="1"/>
              <w:left w:val="single" w:color="E2E8F0" w:sz="1"/>
              <w:bottom w:val="single" w:color="E2E8F0" w:sz="1"/>
              <w:right w:val="single" w:color="E2E8F0" w:sz="1"/>
            </w:tcBorders>
            <w:shd w:fill="F4F6FB" w:val="clear"/>
            <w:tcMar>
              <w:top w:type="dxa" w:w="80"/>
              <w:left w:type="dxa" w:w="120"/>
              <w:bottom w:type="dxa" w:w="80"/>
              <w:right w:type="dxa" w:w="80"/>
            </w:tcMar>
          </w:tcPr>
          <w:p>
            <w:r>
              <w:rPr>
                <w:rFonts w:ascii="Arial" w:cs="Arial" w:eastAsia="Arial" w:hAnsi="Arial"/>
                <w:b w:val="false"/>
                <w:bCs w:val="false"/>
                <w:color w:val="1A202C"/>
                <w:sz w:val="20"/>
                <w:szCs w:val="20"/>
              </w:rPr>
              <w:t xml:space="preserve">Phase 3</w:t>
            </w:r>
          </w:p>
        </w:tc>
      </w:tr>
      <w:tr>
        <w:trPr>
          <w:tblHeader w:val="false"/>
        </w:trPr>
        <w:tc>
          <w:tcPr>
            <w:tcW w:type="dxa" w:w="25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80"/>
            </w:tcMar>
          </w:tcPr>
          <w:p>
            <w:r>
              <w:rPr>
                <w:rFonts w:ascii="Arial" w:cs="Arial" w:eastAsia="Arial" w:hAnsi="Arial"/>
                <w:b w:val="false"/>
                <w:bCs w:val="false"/>
                <w:color w:val="0A0F1E"/>
                <w:sz w:val="20"/>
                <w:szCs w:val="20"/>
              </w:rPr>
              <w:t xml:space="preserve">RN Certification</w:t>
            </w:r>
          </w:p>
        </w:tc>
        <w:tc>
          <w:tcPr>
            <w:tcW w:type="dxa" w:w="4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20"/>
                <w:szCs w:val="20"/>
              </w:rPr>
              <w:t xml:space="preserve">Professional certifications for developers and enterprise operators</w:t>
            </w:r>
          </w:p>
        </w:tc>
        <w:tc>
          <w:tcPr>
            <w:tcW w:type="dxa" w:w="1100"/>
            <w:tcBorders>
              <w:top w:val="single" w:color="E2E8F0" w:sz="1"/>
              <w:left w:val="single" w:color="E2E8F0" w:sz="1"/>
              <w:bottom w:val="single" w:color="E2E8F0" w:sz="1"/>
              <w:right w:val="single" w:color="E2E8F0" w:sz="1"/>
            </w:tcBorders>
            <w:shd w:fill="2D1500" w:val="clear"/>
            <w:tcMar>
              <w:top w:type="dxa" w:w="80"/>
              <w:left w:type="dxa" w:w="120"/>
              <w:bottom w:type="dxa" w:w="80"/>
              <w:right w:type="dxa" w:w="80"/>
            </w:tcMar>
          </w:tcPr>
          <w:p>
            <w:pPr>
              <w:jc w:val="center"/>
            </w:pPr>
            <w:r>
              <w:rPr>
                <w:rFonts w:ascii="Arial" w:cs="Arial" w:eastAsia="Arial" w:hAnsi="Arial"/>
                <w:b/>
                <w:bCs/>
                <w:color w:val="FF6B35"/>
                <w:sz w:val="20"/>
                <w:szCs w:val="20"/>
              </w:rPr>
              <w:t xml:space="preserve">P2</w:t>
            </w:r>
          </w:p>
        </w:tc>
        <w:tc>
          <w:tcPr>
            <w:tcW w:type="dxa" w:w="1500"/>
            <w:tcBorders>
              <w:top w:val="single" w:color="E2E8F0" w:sz="1"/>
              <w:left w:val="single" w:color="E2E8F0" w:sz="1"/>
              <w:bottom w:val="single" w:color="E2E8F0" w:sz="1"/>
              <w:right w:val="single" w:color="E2E8F0" w:sz="1"/>
            </w:tcBorders>
            <w:shd w:fill="F4F6FB" w:val="clear"/>
            <w:tcMar>
              <w:top w:type="dxa" w:w="80"/>
              <w:left w:type="dxa" w:w="120"/>
              <w:bottom w:type="dxa" w:w="80"/>
              <w:right w:type="dxa" w:w="80"/>
            </w:tcMar>
          </w:tcPr>
          <w:p>
            <w:r>
              <w:rPr>
                <w:rFonts w:ascii="Arial" w:cs="Arial" w:eastAsia="Arial" w:hAnsi="Arial"/>
                <w:b w:val="false"/>
                <w:bCs w:val="false"/>
                <w:color w:val="1A202C"/>
                <w:sz w:val="20"/>
                <w:szCs w:val="20"/>
              </w:rPr>
              <w:t xml:space="preserve">Phase 3</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0A0F1E" w:val="clear"/>
            <w:tcMar>
              <w:top w:type="dxa" w:w="120"/>
              <w:left w:type="dxa" w:w="160"/>
              <w:bottom w:type="dxa" w:w="120"/>
              <w:right w:type="dxa" w:w="160"/>
            </w:tcMar>
            <w:vAlign w:val="center"/>
          </w:tcPr>
          <w:p>
            <w:pPr>
              <w:jc w:val="center"/>
            </w:pPr>
            <w:r>
              <w:rPr>
                <w:rFonts w:ascii="Arial" w:cs="Arial" w:eastAsia="Arial" w:hAnsi="Arial"/>
                <w:b/>
                <w:bCs/>
                <w:color w:val="00C2FF"/>
                <w:sz w:val="28"/>
                <w:szCs w:val="28"/>
              </w:rPr>
              <w:t xml:space="preserve">06</w:t>
            </w:r>
          </w:p>
        </w:tc>
        <w:tc>
          <w:tcPr>
            <w:tcW w:type="dxa" w:w="8560"/>
            <w:tcBorders>
              <w:top w:val="none" w:color="FFFFFF" w:sz="0"/>
              <w:left w:val="none" w:color="FFFFFF" w:sz="0"/>
              <w:bottom w:val="none" w:color="FFFFFF" w:sz="0"/>
              <w:right w:val="none" w:color="FFFFFF" w:sz="0"/>
            </w:tcBorders>
            <w:shd w:fill="F4F6FB" w:val="clear"/>
            <w:tcMar>
              <w:top w:type="dxa" w:w="120"/>
              <w:left w:type="dxa" w:w="200"/>
              <w:bottom w:type="dxa" w:w="120"/>
              <w:right w:type="dxa" w:w="160"/>
            </w:tcMar>
            <w:vAlign w:val="center"/>
          </w:tcPr>
          <w:p>
            <w:r>
              <w:rPr>
                <w:rFonts w:ascii="Arial" w:cs="Arial" w:eastAsia="Arial" w:hAnsi="Arial"/>
                <w:b/>
                <w:bCs/>
                <w:color w:val="0A0F1E"/>
                <w:spacing w:val="40"/>
                <w:sz w:val="28"/>
                <w:szCs w:val="28"/>
              </w:rPr>
              <w:t xml:space="preserve">UX PHILOSOPHY &amp; DESIGN SYSTEM</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C2FF" w:sz="12"/>
              <w:bottom w:val="none" w:color="FFFFFF" w:sz="0"/>
              <w:right w:val="none" w:color="FFFFFF" w:sz="0"/>
            </w:tcBorders>
            <w:shd w:fill="EFF6FF" w:val="clear"/>
            <w:tcMar>
              <w:top w:type="dxa" w:w="120"/>
              <w:left w:type="dxa" w:w="240"/>
              <w:bottom w:type="dxa" w:w="120"/>
              <w:right w:type="dxa" w:w="240"/>
            </w:tcMar>
          </w:tcPr>
          <w:p>
            <w:r>
              <w:rPr>
                <w:rFonts w:ascii="Arial" w:cs="Arial" w:eastAsia="Arial" w:hAnsi="Arial"/>
                <w:i/>
                <w:iCs/>
                <w:color w:val="1A202C"/>
                <w:sz w:val="22"/>
                <w:szCs w:val="22"/>
              </w:rPr>
              <w:t xml:space="preserve">Design Principle: Robotics should feel accessible to everyone. Our design system bridges the gap between "techy and intimidating" and "shallow and marketing-driven." We build with the confidence of a Jony Ive product and the trust of a Consumer Reports editorial.</w:t>
            </w:r>
          </w:p>
        </w:tc>
      </w:tr>
    </w:tbl>
    <w:p>
      <w:pPr>
        <w:spacing w:after="0" w:before="120"/>
      </w:pPr>
      <w:r>
        <w:t xml:space="preserve"/>
      </w:r>
    </w:p>
    <w:p>
      <w:pPr>
        <w:pStyle w:val="Heading2"/>
        <w:spacing w:after="160" w:before="360"/>
      </w:pPr>
      <w:r>
        <w:rPr>
          <w:rFonts w:ascii="Arial" w:cs="Arial" w:eastAsia="Arial" w:hAnsi="Arial"/>
          <w:b/>
          <w:bCs/>
          <w:color w:val="0A0F1E"/>
          <w:sz w:val="30"/>
          <w:szCs w:val="30"/>
        </w:rPr>
        <w:t xml:space="preserve">User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rPr>
          <w:tblHeader/>
        </w:trPr>
        <w:tc>
          <w:tcPr>
            <w:tcW w:type="dxa" w:w="1800"/>
            <w:tcBorders>
              <w:top w:val="single" w:color="E2E8F0" w:sz="1"/>
              <w:left w:val="single" w:color="E2E8F0" w:sz="1"/>
              <w:bottom w:val="single" w:color="E2E8F0" w:sz="1"/>
              <w:right w:val="single" w:color="E2E8F0" w:sz="1"/>
            </w:tcBorders>
            <w:shd w:fill="0A0F1E" w:val="clear"/>
            <w:tcMar>
              <w:top w:type="dxa" w:w="80"/>
              <w:left w:type="dxa" w:w="120"/>
              <w:bottom w:type="dxa" w:w="80"/>
              <w:right w:type="dxa" w:w="80"/>
            </w:tcMar>
          </w:tcPr>
          <w:p>
            <w:r>
              <w:rPr>
                <w:rFonts w:ascii="Arial" w:cs="Arial" w:eastAsia="Arial" w:hAnsi="Arial"/>
                <w:b/>
                <w:bCs/>
                <w:color w:val="FFFFFF"/>
                <w:sz w:val="20"/>
                <w:szCs w:val="20"/>
              </w:rPr>
              <w:t xml:space="preserve">Persona</w:t>
            </w:r>
          </w:p>
        </w:tc>
        <w:tc>
          <w:tcPr>
            <w:tcW w:type="dxa" w:w="3480"/>
            <w:tcBorders>
              <w:top w:val="single" w:color="E2E8F0" w:sz="1"/>
              <w:left w:val="single" w:color="E2E8F0" w:sz="1"/>
              <w:bottom w:val="single" w:color="E2E8F0" w:sz="1"/>
              <w:right w:val="single" w:color="E2E8F0" w:sz="1"/>
            </w:tcBorders>
            <w:shd w:fill="0A0F1E" w:val="clear"/>
            <w:tcMar>
              <w:top w:type="dxa" w:w="80"/>
              <w:left w:type="dxa" w:w="120"/>
              <w:bottom w:type="dxa" w:w="80"/>
              <w:right w:type="dxa" w:w="80"/>
            </w:tcMar>
          </w:tcPr>
          <w:p>
            <w:r>
              <w:rPr>
                <w:rFonts w:ascii="Arial" w:cs="Arial" w:eastAsia="Arial" w:hAnsi="Arial"/>
                <w:b/>
                <w:bCs/>
                <w:color w:val="FFFFFF"/>
                <w:sz w:val="20"/>
                <w:szCs w:val="20"/>
              </w:rPr>
              <w:t xml:space="preserve">Profile</w:t>
            </w:r>
          </w:p>
        </w:tc>
        <w:tc>
          <w:tcPr>
            <w:tcW w:type="dxa" w:w="4080"/>
            <w:tcBorders>
              <w:top w:val="single" w:color="E2E8F0" w:sz="1"/>
              <w:left w:val="single" w:color="E2E8F0" w:sz="1"/>
              <w:bottom w:val="single" w:color="E2E8F0" w:sz="1"/>
              <w:right w:val="single" w:color="E2E8F0" w:sz="1"/>
            </w:tcBorders>
            <w:shd w:fill="0A0F1E" w:val="clear"/>
            <w:tcMar>
              <w:top w:type="dxa" w:w="80"/>
              <w:left w:type="dxa" w:w="120"/>
              <w:bottom w:type="dxa" w:w="80"/>
              <w:right w:type="dxa" w:w="80"/>
            </w:tcMar>
          </w:tcPr>
          <w:p>
            <w:r>
              <w:rPr>
                <w:rFonts w:ascii="Arial" w:cs="Arial" w:eastAsia="Arial" w:hAnsi="Arial"/>
                <w:b/>
                <w:bCs/>
                <w:color w:val="FFFFFF"/>
                <w:sz w:val="20"/>
                <w:szCs w:val="20"/>
              </w:rPr>
              <w:t xml:space="preserve">Primary Need</w:t>
            </w:r>
          </w:p>
        </w:tc>
      </w:tr>
      <w:tr>
        <w:tc>
          <w:tcPr>
            <w:tcW w:type="dxa" w:w="1800"/>
            <w:tcBorders>
              <w:top w:val="single" w:color="E2E8F0" w:sz="1"/>
              <w:left w:val="single" w:color="E2E8F0" w:sz="1"/>
              <w:bottom w:val="single" w:color="E2E8F0" w:sz="1"/>
              <w:right w:val="single" w:color="E2E8F0" w:sz="1"/>
            </w:tcBorders>
            <w:shd w:fill="F4F6FB" w:val="clear"/>
            <w:tcMar>
              <w:top w:type="dxa" w:w="80"/>
              <w:left w:type="dxa" w:w="120"/>
              <w:bottom w:type="dxa" w:w="80"/>
              <w:right w:type="dxa" w:w="80"/>
            </w:tcMar>
          </w:tcPr>
          <w:p>
            <w:r>
              <w:rPr>
                <w:rFonts w:ascii="Arial" w:cs="Arial" w:eastAsia="Arial" w:hAnsi="Arial"/>
                <w:b/>
                <w:bCs/>
                <w:color w:val="1A202C"/>
                <w:sz w:val="19"/>
                <w:szCs w:val="19"/>
              </w:rPr>
              <w:t xml:space="preserve">Curious Consumer</w:t>
            </w:r>
          </w:p>
        </w:tc>
        <w:tc>
          <w:tcPr>
            <w:tcW w:type="dxa" w:w="3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19"/>
                <w:szCs w:val="19"/>
              </w:rPr>
              <w:t xml:space="preserve">Homeowner, 35-55, moderate tech comfort, budget-conscious</w:t>
            </w:r>
          </w:p>
        </w:tc>
        <w:tc>
          <w:tcPr>
            <w:tcW w:type="dxa" w:w="4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19"/>
                <w:szCs w:val="19"/>
              </w:rPr>
              <w:t xml:space="preserve">Simple guidance: "What robot will actually help me at home?"</w:t>
            </w:r>
          </w:p>
        </w:tc>
      </w:tr>
      <w:tr>
        <w:tc>
          <w:tcPr>
            <w:tcW w:type="dxa" w:w="1800"/>
            <w:tcBorders>
              <w:top w:val="single" w:color="E2E8F0" w:sz="1"/>
              <w:left w:val="single" w:color="E2E8F0" w:sz="1"/>
              <w:bottom w:val="single" w:color="E2E8F0" w:sz="1"/>
              <w:right w:val="single" w:color="E2E8F0" w:sz="1"/>
            </w:tcBorders>
            <w:shd w:fill="F4F6FB" w:val="clear"/>
            <w:tcMar>
              <w:top w:type="dxa" w:w="80"/>
              <w:left w:type="dxa" w:w="120"/>
              <w:bottom w:type="dxa" w:w="80"/>
              <w:right w:type="dxa" w:w="80"/>
            </w:tcMar>
          </w:tcPr>
          <w:p>
            <w:r>
              <w:rPr>
                <w:rFonts w:ascii="Arial" w:cs="Arial" w:eastAsia="Arial" w:hAnsi="Arial"/>
                <w:b/>
                <w:bCs/>
                <w:color w:val="1A202C"/>
                <w:sz w:val="19"/>
                <w:szCs w:val="19"/>
              </w:rPr>
              <w:t xml:space="preserve">Tech Enthusiast</w:t>
            </w:r>
          </w:p>
        </w:tc>
        <w:tc>
          <w:tcPr>
            <w:tcW w:type="dxa" w:w="3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19"/>
                <w:szCs w:val="19"/>
              </w:rPr>
              <w:t xml:space="preserve">Early adopter, 25-40, high tech comfort, wants depth and specs</w:t>
            </w:r>
          </w:p>
        </w:tc>
        <w:tc>
          <w:tcPr>
            <w:tcW w:type="dxa" w:w="4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19"/>
                <w:szCs w:val="19"/>
              </w:rPr>
              <w:t xml:space="preserve">Deep reviews, benchmarks, community, and early access</w:t>
            </w:r>
          </w:p>
        </w:tc>
      </w:tr>
      <w:tr>
        <w:tc>
          <w:tcPr>
            <w:tcW w:type="dxa" w:w="1800"/>
            <w:tcBorders>
              <w:top w:val="single" w:color="E2E8F0" w:sz="1"/>
              <w:left w:val="single" w:color="E2E8F0" w:sz="1"/>
              <w:bottom w:val="single" w:color="E2E8F0" w:sz="1"/>
              <w:right w:val="single" w:color="E2E8F0" w:sz="1"/>
            </w:tcBorders>
            <w:shd w:fill="F4F6FB" w:val="clear"/>
            <w:tcMar>
              <w:top w:type="dxa" w:w="80"/>
              <w:left w:type="dxa" w:w="120"/>
              <w:bottom w:type="dxa" w:w="80"/>
              <w:right w:type="dxa" w:w="80"/>
            </w:tcMar>
          </w:tcPr>
          <w:p>
            <w:r>
              <w:rPr>
                <w:rFonts w:ascii="Arial" w:cs="Arial" w:eastAsia="Arial" w:hAnsi="Arial"/>
                <w:b/>
                <w:bCs/>
                <w:color w:val="1A202C"/>
                <w:sz w:val="19"/>
                <w:szCs w:val="19"/>
              </w:rPr>
              <w:t xml:space="preserve">Parent/Educator</w:t>
            </w:r>
          </w:p>
        </w:tc>
        <w:tc>
          <w:tcPr>
            <w:tcW w:type="dxa" w:w="3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19"/>
                <w:szCs w:val="19"/>
              </w:rPr>
              <w:t xml:space="preserve">Parent or K-12 teacher, wants educational robotics for kids</w:t>
            </w:r>
          </w:p>
        </w:tc>
        <w:tc>
          <w:tcPr>
            <w:tcW w:type="dxa" w:w="4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19"/>
                <w:szCs w:val="19"/>
              </w:rPr>
              <w:t xml:space="preserve">Curriculum alignment, age-appropriateness, project ideas</w:t>
            </w:r>
          </w:p>
        </w:tc>
      </w:tr>
      <w:tr>
        <w:tc>
          <w:tcPr>
            <w:tcW w:type="dxa" w:w="1800"/>
            <w:tcBorders>
              <w:top w:val="single" w:color="E2E8F0" w:sz="1"/>
              <w:left w:val="single" w:color="E2E8F0" w:sz="1"/>
              <w:bottom w:val="single" w:color="E2E8F0" w:sz="1"/>
              <w:right w:val="single" w:color="E2E8F0" w:sz="1"/>
            </w:tcBorders>
            <w:shd w:fill="F4F6FB" w:val="clear"/>
            <w:tcMar>
              <w:top w:type="dxa" w:w="80"/>
              <w:left w:type="dxa" w:w="120"/>
              <w:bottom w:type="dxa" w:w="80"/>
              <w:right w:type="dxa" w:w="80"/>
            </w:tcMar>
          </w:tcPr>
          <w:p>
            <w:r>
              <w:rPr>
                <w:rFonts w:ascii="Arial" w:cs="Arial" w:eastAsia="Arial" w:hAnsi="Arial"/>
                <w:b/>
                <w:bCs/>
                <w:color w:val="1A202C"/>
                <w:sz w:val="19"/>
                <w:szCs w:val="19"/>
              </w:rPr>
              <w:t xml:space="preserve">SMB Owner</w:t>
            </w:r>
          </w:p>
        </w:tc>
        <w:tc>
          <w:tcPr>
            <w:tcW w:type="dxa" w:w="3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19"/>
                <w:szCs w:val="19"/>
              </w:rPr>
              <w:t xml:space="preserve">Restaurant, retail, warehouse — evaluating labor-saving robots</w:t>
            </w:r>
          </w:p>
        </w:tc>
        <w:tc>
          <w:tcPr>
            <w:tcW w:type="dxa" w:w="4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19"/>
                <w:szCs w:val="19"/>
              </w:rPr>
              <w:t xml:space="preserve">ROI data, vendor comparison, case studies, pricing transparency</w:t>
            </w:r>
          </w:p>
        </w:tc>
      </w:tr>
      <w:tr>
        <w:tc>
          <w:tcPr>
            <w:tcW w:type="dxa" w:w="1800"/>
            <w:tcBorders>
              <w:top w:val="single" w:color="E2E8F0" w:sz="1"/>
              <w:left w:val="single" w:color="E2E8F0" w:sz="1"/>
              <w:bottom w:val="single" w:color="E2E8F0" w:sz="1"/>
              <w:right w:val="single" w:color="E2E8F0" w:sz="1"/>
            </w:tcBorders>
            <w:shd w:fill="F4F6FB" w:val="clear"/>
            <w:tcMar>
              <w:top w:type="dxa" w:w="80"/>
              <w:left w:type="dxa" w:w="120"/>
              <w:bottom w:type="dxa" w:w="80"/>
              <w:right w:type="dxa" w:w="80"/>
            </w:tcMar>
          </w:tcPr>
          <w:p>
            <w:r>
              <w:rPr>
                <w:rFonts w:ascii="Arial" w:cs="Arial" w:eastAsia="Arial" w:hAnsi="Arial"/>
                <w:b/>
                <w:bCs/>
                <w:color w:val="1A202C"/>
                <w:sz w:val="19"/>
                <w:szCs w:val="19"/>
              </w:rPr>
              <w:t xml:space="preserve">Enterprise Buyer</w:t>
            </w:r>
          </w:p>
        </w:tc>
        <w:tc>
          <w:tcPr>
            <w:tcW w:type="dxa" w:w="3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19"/>
                <w:szCs w:val="19"/>
              </w:rPr>
              <w:t xml:space="preserve">VP Operations/IT, Fortune 1000, multi-unit procurement</w:t>
            </w:r>
          </w:p>
        </w:tc>
        <w:tc>
          <w:tcPr>
            <w:tcW w:type="dxa" w:w="4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19"/>
                <w:szCs w:val="19"/>
              </w:rPr>
              <w:t xml:space="preserve">Fleet management, compliance, integration support, TCO analysis</w:t>
            </w:r>
          </w:p>
        </w:tc>
      </w:tr>
      <w:tr>
        <w:tc>
          <w:tcPr>
            <w:tcW w:type="dxa" w:w="1800"/>
            <w:tcBorders>
              <w:top w:val="single" w:color="E2E8F0" w:sz="1"/>
              <w:left w:val="single" w:color="E2E8F0" w:sz="1"/>
              <w:bottom w:val="single" w:color="E2E8F0" w:sz="1"/>
              <w:right w:val="single" w:color="E2E8F0" w:sz="1"/>
            </w:tcBorders>
            <w:shd w:fill="F4F6FB" w:val="clear"/>
            <w:tcMar>
              <w:top w:type="dxa" w:w="80"/>
              <w:left w:type="dxa" w:w="120"/>
              <w:bottom w:type="dxa" w:w="80"/>
              <w:right w:type="dxa" w:w="80"/>
            </w:tcMar>
          </w:tcPr>
          <w:p>
            <w:r>
              <w:rPr>
                <w:rFonts w:ascii="Arial" w:cs="Arial" w:eastAsia="Arial" w:hAnsi="Arial"/>
                <w:b/>
                <w:bCs/>
                <w:color w:val="1A202C"/>
                <w:sz w:val="19"/>
                <w:szCs w:val="19"/>
              </w:rPr>
              <w:t xml:space="preserve">Developer/Maker</w:t>
            </w:r>
          </w:p>
        </w:tc>
        <w:tc>
          <w:tcPr>
            <w:tcW w:type="dxa" w:w="3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19"/>
                <w:szCs w:val="19"/>
              </w:rPr>
              <w:t xml:space="preserve">Software engineer or hobbyist building custom robotics projects</w:t>
            </w:r>
          </w:p>
        </w:tc>
        <w:tc>
          <w:tcPr>
            <w:tcW w:type="dxa" w:w="4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19"/>
                <w:szCs w:val="19"/>
              </w:rPr>
              <w:t xml:space="preserve">API docs, SDK access, component marketplace, community code sharing</w:t>
            </w:r>
          </w:p>
        </w:tc>
      </w:tr>
      <w:tr>
        <w:tc>
          <w:tcPr>
            <w:tcW w:type="dxa" w:w="1800"/>
            <w:tcBorders>
              <w:top w:val="single" w:color="E2E8F0" w:sz="1"/>
              <w:left w:val="single" w:color="E2E8F0" w:sz="1"/>
              <w:bottom w:val="single" w:color="E2E8F0" w:sz="1"/>
              <w:right w:val="single" w:color="E2E8F0" w:sz="1"/>
            </w:tcBorders>
            <w:shd w:fill="F4F6FB" w:val="clear"/>
            <w:tcMar>
              <w:top w:type="dxa" w:w="80"/>
              <w:left w:type="dxa" w:w="120"/>
              <w:bottom w:type="dxa" w:w="80"/>
              <w:right w:type="dxa" w:w="80"/>
            </w:tcMar>
          </w:tcPr>
          <w:p>
            <w:r>
              <w:rPr>
                <w:rFonts w:ascii="Arial" w:cs="Arial" w:eastAsia="Arial" w:hAnsi="Arial"/>
                <w:b/>
                <w:bCs/>
                <w:color w:val="1A202C"/>
                <w:sz w:val="19"/>
                <w:szCs w:val="19"/>
              </w:rPr>
              <w:t xml:space="preserve">Researcher/Academic</w:t>
            </w:r>
          </w:p>
        </w:tc>
        <w:tc>
          <w:tcPr>
            <w:tcW w:type="dxa" w:w="3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19"/>
                <w:szCs w:val="19"/>
              </w:rPr>
              <w:t xml:space="preserve">University lab, think tank, policy analyst</w:t>
            </w:r>
          </w:p>
        </w:tc>
        <w:tc>
          <w:tcPr>
            <w:tcW w:type="dxa" w:w="4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19"/>
                <w:szCs w:val="19"/>
              </w:rPr>
              <w:t xml:space="preserve">Structured data access, market intelligence, citation-quality sourcing</w:t>
            </w:r>
          </w:p>
        </w:tc>
      </w:tr>
    </w:tbl>
    <w:p>
      <w:pPr>
        <w:spacing w:after="0" w:before="120"/>
      </w:pPr>
      <w:r>
        <w:t xml:space="preserve"/>
      </w:r>
    </w:p>
    <w:p>
      <w:pPr>
        <w:pStyle w:val="Heading2"/>
        <w:spacing w:after="160" w:before="360"/>
      </w:pPr>
      <w:r>
        <w:rPr>
          <w:rFonts w:ascii="Arial" w:cs="Arial" w:eastAsia="Arial" w:hAnsi="Arial"/>
          <w:b/>
          <w:bCs/>
          <w:color w:val="0A0F1E"/>
          <w:sz w:val="30"/>
          <w:szCs w:val="30"/>
        </w:rPr>
        <w:t xml:space="preserve">Core Design Principles</w:t>
      </w:r>
    </w:p>
    <w:p>
      <w:pPr>
        <w:pStyle w:val="ListParagraph"/>
        <w:numPr>
          <w:ilvl w:val="0"/>
          <w:numId w:val="2"/>
        </w:numPr>
        <w:spacing w:after="60" w:before="60"/>
      </w:pPr>
      <w:r>
        <w:rPr>
          <w:rFonts w:ascii="Arial" w:cs="Arial" w:eastAsia="Arial" w:hAnsi="Arial"/>
          <w:color w:val="1A202C"/>
          <w:sz w:val="22"/>
          <w:szCs w:val="22"/>
        </w:rPr>
        <w:t xml:space="preserve">Trust first — every claim is sourced, every score is explainable, no black boxes</w:t>
      </w:r>
    </w:p>
    <w:p>
      <w:pPr>
        <w:pStyle w:val="ListParagraph"/>
        <w:numPr>
          <w:ilvl w:val="0"/>
          <w:numId w:val="2"/>
        </w:numPr>
        <w:spacing w:after="60" w:before="60"/>
      </w:pPr>
      <w:r>
        <w:rPr>
          <w:rFonts w:ascii="Arial" w:cs="Arial" w:eastAsia="Arial" w:hAnsi="Arial"/>
          <w:color w:val="1A202C"/>
          <w:sz w:val="22"/>
          <w:szCs w:val="22"/>
        </w:rPr>
        <w:t xml:space="preserve">Complexity on demand — simple default view, deep data available on click</w:t>
      </w:r>
    </w:p>
    <w:p>
      <w:pPr>
        <w:pStyle w:val="ListParagraph"/>
        <w:numPr>
          <w:ilvl w:val="0"/>
          <w:numId w:val="2"/>
        </w:numPr>
        <w:spacing w:after="60" w:before="60"/>
      </w:pPr>
      <w:r>
        <w:rPr>
          <w:rFonts w:ascii="Arial" w:cs="Arial" w:eastAsia="Arial" w:hAnsi="Arial"/>
          <w:color w:val="1A202C"/>
          <w:sz w:val="22"/>
          <w:szCs w:val="22"/>
        </w:rPr>
        <w:t xml:space="preserve">AI as assistant, not gatekeeper — users can always browse and search without talking to AI</w:t>
      </w:r>
    </w:p>
    <w:p>
      <w:pPr>
        <w:pStyle w:val="ListParagraph"/>
        <w:numPr>
          <w:ilvl w:val="0"/>
          <w:numId w:val="2"/>
        </w:numPr>
        <w:spacing w:after="60" w:before="60"/>
      </w:pPr>
      <w:r>
        <w:rPr>
          <w:rFonts w:ascii="Arial" w:cs="Arial" w:eastAsia="Arial" w:hAnsi="Arial"/>
          <w:color w:val="1A202C"/>
          <w:sz w:val="22"/>
          <w:szCs w:val="22"/>
        </w:rPr>
        <w:t xml:space="preserve">Mobile-native — 60%+ of discovery is mobile; every feature works beautifully on phone</w:t>
      </w:r>
    </w:p>
    <w:p>
      <w:pPr>
        <w:pStyle w:val="ListParagraph"/>
        <w:numPr>
          <w:ilvl w:val="0"/>
          <w:numId w:val="2"/>
        </w:numPr>
        <w:spacing w:after="60" w:before="60"/>
      </w:pPr>
      <w:r>
        <w:rPr>
          <w:rFonts w:ascii="Arial" w:cs="Arial" w:eastAsia="Arial" w:hAnsi="Arial"/>
          <w:color w:val="1A202C"/>
          <w:sz w:val="22"/>
          <w:szCs w:val="22"/>
        </w:rPr>
        <w:t xml:space="preserve">Accessibility — WCAG 2.1 AA minimum, robotics vocabulary explained on hover</w:t>
      </w:r>
    </w:p>
    <w:p>
      <w:pPr>
        <w:spacing w:after="0" w:before="120"/>
      </w:pPr>
      <w:r>
        <w:t xml:space="preserve"/>
      </w:r>
    </w:p>
    <w:p>
      <w:pPr>
        <w:pStyle w:val="Heading2"/>
        <w:spacing w:after="160" w:before="360"/>
      </w:pPr>
      <w:r>
        <w:rPr>
          <w:rFonts w:ascii="Arial" w:cs="Arial" w:eastAsia="Arial" w:hAnsi="Arial"/>
          <w:b/>
          <w:bCs/>
          <w:color w:val="0A0F1E"/>
          <w:sz w:val="30"/>
          <w:szCs w:val="30"/>
        </w:rPr>
        <w:t xml:space="preserve">Key User Journeys</w:t>
      </w:r>
    </w:p>
    <w:p>
      <w:pPr>
        <w:pStyle w:val="Heading3"/>
        <w:spacing w:after="120" w:before="280"/>
      </w:pPr>
      <w:r>
        <w:rPr>
          <w:rFonts w:ascii="Arial" w:cs="Arial" w:eastAsia="Arial" w:hAnsi="Arial"/>
          <w:b/>
          <w:bCs/>
          <w:color w:val="7B2FFF"/>
          <w:sz w:val="26"/>
          <w:szCs w:val="26"/>
        </w:rPr>
        <w:t xml:space="preserve">Journey 1: The First-Time Robot Buyer</w:t>
      </w:r>
    </w:p>
    <w:p>
      <w:pPr>
        <w:pStyle w:val="ListParagraph"/>
        <w:numPr>
          <w:ilvl w:val="0"/>
          <w:numId w:val="3"/>
        </w:numPr>
        <w:spacing w:after="60" w:before="60"/>
      </w:pPr>
      <w:r>
        <w:rPr>
          <w:rFonts w:ascii="Arial" w:cs="Arial" w:eastAsia="Arial" w:hAnsi="Arial"/>
          <w:color w:val="1A202C"/>
          <w:sz w:val="22"/>
          <w:szCs w:val="22"/>
        </w:rPr>
        <w:t xml:space="preserve">Arrives via Google search or social ("best home robot 2026")</w:t>
      </w:r>
    </w:p>
    <w:p>
      <w:pPr>
        <w:pStyle w:val="ListParagraph"/>
        <w:numPr>
          <w:ilvl w:val="0"/>
          <w:numId w:val="3"/>
        </w:numPr>
        <w:spacing w:after="60" w:before="60"/>
      </w:pPr>
      <w:r>
        <w:rPr>
          <w:rFonts w:ascii="Arial" w:cs="Arial" w:eastAsia="Arial" w:hAnsi="Arial"/>
          <w:color w:val="1A202C"/>
          <w:sz w:val="22"/>
          <w:szCs w:val="22"/>
        </w:rPr>
        <w:t xml:space="preserve">Sees curated "Start Here" experience — picks a goal from visual use-case grid</w:t>
      </w:r>
    </w:p>
    <w:p>
      <w:pPr>
        <w:pStyle w:val="ListParagraph"/>
        <w:numPr>
          <w:ilvl w:val="0"/>
          <w:numId w:val="3"/>
        </w:numPr>
        <w:spacing w:after="60" w:before="60"/>
      </w:pPr>
      <w:r>
        <w:rPr>
          <w:rFonts w:ascii="Arial" w:cs="Arial" w:eastAsia="Arial" w:hAnsi="Arial"/>
          <w:color w:val="1A202C"/>
          <w:sz w:val="22"/>
          <w:szCs w:val="22"/>
        </w:rPr>
        <w:t xml:space="preserve">AI Advisor asks 3-5 questions, returns top 3 recommendations with explanations</w:t>
      </w:r>
    </w:p>
    <w:p>
      <w:pPr>
        <w:pStyle w:val="ListParagraph"/>
        <w:numPr>
          <w:ilvl w:val="0"/>
          <w:numId w:val="3"/>
        </w:numPr>
        <w:spacing w:after="60" w:before="60"/>
      </w:pPr>
      <w:r>
        <w:rPr>
          <w:rFonts w:ascii="Arial" w:cs="Arial" w:eastAsia="Arial" w:hAnsi="Arial"/>
          <w:color w:val="1A202C"/>
          <w:sz w:val="22"/>
          <w:szCs w:val="22"/>
        </w:rPr>
        <w:t xml:space="preserve">Reviews each recommendation — reads RoboScore breakdown, watches video, reads expert review</w:t>
      </w:r>
    </w:p>
    <w:p>
      <w:pPr>
        <w:pStyle w:val="ListParagraph"/>
        <w:numPr>
          <w:ilvl w:val="0"/>
          <w:numId w:val="3"/>
        </w:numPr>
        <w:spacing w:after="60" w:before="60"/>
      </w:pPr>
      <w:r>
        <w:rPr>
          <w:rFonts w:ascii="Arial" w:cs="Arial" w:eastAsia="Arial" w:hAnsi="Arial"/>
          <w:color w:val="1A202C"/>
          <w:sz w:val="22"/>
          <w:szCs w:val="22"/>
        </w:rPr>
        <w:t xml:space="preserve">Clicks "Best Price" — goes to marketplace or affiliate link</w:t>
      </w:r>
    </w:p>
    <w:p>
      <w:pPr>
        <w:pStyle w:val="ListParagraph"/>
        <w:numPr>
          <w:ilvl w:val="0"/>
          <w:numId w:val="3"/>
        </w:numPr>
        <w:spacing w:after="60" w:before="60"/>
      </w:pPr>
      <w:r>
        <w:rPr>
          <w:rFonts w:ascii="Arial" w:cs="Arial" w:eastAsia="Arial" w:hAnsi="Arial"/>
          <w:color w:val="1A202C"/>
          <w:sz w:val="22"/>
          <w:szCs w:val="22"/>
        </w:rPr>
        <w:t xml:space="preserve">Optionally creates account to save comparison, set price alert, access setup guides</w:t>
      </w:r>
    </w:p>
    <w:p>
      <w:pPr>
        <w:spacing w:after="0" w:before="120"/>
      </w:pPr>
      <w:r>
        <w:t xml:space="preserve"/>
      </w:r>
    </w:p>
    <w:p>
      <w:pPr>
        <w:pStyle w:val="Heading3"/>
        <w:spacing w:after="120" w:before="280"/>
      </w:pPr>
      <w:r>
        <w:rPr>
          <w:rFonts w:ascii="Arial" w:cs="Arial" w:eastAsia="Arial" w:hAnsi="Arial"/>
          <w:b/>
          <w:bCs/>
          <w:color w:val="7B2FFF"/>
          <w:sz w:val="26"/>
          <w:szCs w:val="26"/>
        </w:rPr>
        <w:t xml:space="preserve">Journey 2: The Enterprise Procurement Officer</w:t>
      </w:r>
    </w:p>
    <w:p>
      <w:pPr>
        <w:pStyle w:val="ListParagraph"/>
        <w:numPr>
          <w:ilvl w:val="0"/>
          <w:numId w:val="3"/>
        </w:numPr>
        <w:spacing w:after="60" w:before="60"/>
      </w:pPr>
      <w:r>
        <w:rPr>
          <w:rFonts w:ascii="Arial" w:cs="Arial" w:eastAsia="Arial" w:hAnsi="Arial"/>
          <w:color w:val="1A202C"/>
          <w:sz w:val="22"/>
          <w:szCs w:val="22"/>
        </w:rPr>
        <w:t xml:space="preserve">Lands on Enterprise landing page from LinkedIn ad or Google search</w:t>
      </w:r>
    </w:p>
    <w:p>
      <w:pPr>
        <w:pStyle w:val="ListParagraph"/>
        <w:numPr>
          <w:ilvl w:val="0"/>
          <w:numId w:val="3"/>
        </w:numPr>
        <w:spacing w:after="60" w:before="60"/>
      </w:pPr>
      <w:r>
        <w:rPr>
          <w:rFonts w:ascii="Arial" w:cs="Arial" w:eastAsia="Arial" w:hAnsi="Arial"/>
          <w:color w:val="1A202C"/>
          <w:sz w:val="22"/>
          <w:szCs w:val="22"/>
        </w:rPr>
        <w:t xml:space="preserve">Books demo OR self-serves into Enterprise dashboard with 14-day trial</w:t>
      </w:r>
    </w:p>
    <w:p>
      <w:pPr>
        <w:pStyle w:val="ListParagraph"/>
        <w:numPr>
          <w:ilvl w:val="0"/>
          <w:numId w:val="3"/>
        </w:numPr>
        <w:spacing w:after="60" w:before="60"/>
      </w:pPr>
      <w:r>
        <w:rPr>
          <w:rFonts w:ascii="Arial" w:cs="Arial" w:eastAsia="Arial" w:hAnsi="Arial"/>
          <w:color w:val="1A202C"/>
          <w:sz w:val="22"/>
          <w:szCs w:val="22"/>
        </w:rPr>
        <w:t xml:space="preserve">Uploads current robot fleet inventory — AI maps to database, surfaces gaps</w:t>
      </w:r>
    </w:p>
    <w:p>
      <w:pPr>
        <w:pStyle w:val="ListParagraph"/>
        <w:numPr>
          <w:ilvl w:val="0"/>
          <w:numId w:val="3"/>
        </w:numPr>
        <w:spacing w:after="60" w:before="60"/>
      </w:pPr>
      <w:r>
        <w:rPr>
          <w:rFonts w:ascii="Arial" w:cs="Arial" w:eastAsia="Arial" w:hAnsi="Arial"/>
          <w:color w:val="1A202C"/>
          <w:sz w:val="22"/>
          <w:szCs w:val="22"/>
        </w:rPr>
        <w:t xml:space="preserve">Runs RoboNexus Vendor Assessment for 3 competing platforms</w:t>
      </w:r>
    </w:p>
    <w:p>
      <w:pPr>
        <w:pStyle w:val="ListParagraph"/>
        <w:numPr>
          <w:ilvl w:val="0"/>
          <w:numId w:val="3"/>
        </w:numPr>
        <w:spacing w:after="60" w:before="60"/>
      </w:pPr>
      <w:r>
        <w:rPr>
          <w:rFonts w:ascii="Arial" w:cs="Arial" w:eastAsia="Arial" w:hAnsi="Arial"/>
          <w:color w:val="1A202C"/>
          <w:sz w:val="22"/>
          <w:szCs w:val="22"/>
        </w:rPr>
        <w:t xml:space="preserve">Downloads 40-page AI-generated procurement report with TCO model</w:t>
      </w:r>
    </w:p>
    <w:p>
      <w:pPr>
        <w:pStyle w:val="ListParagraph"/>
        <w:numPr>
          <w:ilvl w:val="0"/>
          <w:numId w:val="3"/>
        </w:numPr>
        <w:spacing w:after="60" w:before="60"/>
      </w:pPr>
      <w:r>
        <w:rPr>
          <w:rFonts w:ascii="Arial" w:cs="Arial" w:eastAsia="Arial" w:hAnsi="Arial"/>
          <w:color w:val="1A202C"/>
          <w:sz w:val="22"/>
          <w:szCs w:val="22"/>
        </w:rPr>
        <w:t xml:space="preserve">Signs RoboNexus Enterprise at $2,499/month</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0A0F1E" w:val="clear"/>
            <w:tcMar>
              <w:top w:type="dxa" w:w="120"/>
              <w:left w:type="dxa" w:w="160"/>
              <w:bottom w:type="dxa" w:w="120"/>
              <w:right w:type="dxa" w:w="160"/>
            </w:tcMar>
            <w:vAlign w:val="center"/>
          </w:tcPr>
          <w:p>
            <w:pPr>
              <w:jc w:val="center"/>
            </w:pPr>
            <w:r>
              <w:rPr>
                <w:rFonts w:ascii="Arial" w:cs="Arial" w:eastAsia="Arial" w:hAnsi="Arial"/>
                <w:b/>
                <w:bCs/>
                <w:color w:val="00C2FF"/>
                <w:sz w:val="28"/>
                <w:szCs w:val="28"/>
              </w:rPr>
              <w:t xml:space="preserve">07</w:t>
            </w:r>
          </w:p>
        </w:tc>
        <w:tc>
          <w:tcPr>
            <w:tcW w:type="dxa" w:w="8560"/>
            <w:tcBorders>
              <w:top w:val="none" w:color="FFFFFF" w:sz="0"/>
              <w:left w:val="none" w:color="FFFFFF" w:sz="0"/>
              <w:bottom w:val="none" w:color="FFFFFF" w:sz="0"/>
              <w:right w:val="none" w:color="FFFFFF" w:sz="0"/>
            </w:tcBorders>
            <w:shd w:fill="F4F6FB" w:val="clear"/>
            <w:tcMar>
              <w:top w:type="dxa" w:w="120"/>
              <w:left w:type="dxa" w:w="200"/>
              <w:bottom w:type="dxa" w:w="120"/>
              <w:right w:type="dxa" w:w="160"/>
            </w:tcMar>
            <w:vAlign w:val="center"/>
          </w:tcPr>
          <w:p>
            <w:r>
              <w:rPr>
                <w:rFonts w:ascii="Arial" w:cs="Arial" w:eastAsia="Arial" w:hAnsi="Arial"/>
                <w:b/>
                <w:bCs/>
                <w:color w:val="0A0F1E"/>
                <w:spacing w:val="40"/>
                <w:sz w:val="28"/>
                <w:szCs w:val="28"/>
              </w:rPr>
              <w:t xml:space="preserve">GO-TO-MARKET STRATEGY</w:t>
            </w:r>
          </w:p>
        </w:tc>
      </w:tr>
    </w:tbl>
    <w:p>
      <w:pPr>
        <w:spacing w:after="0" w:before="120"/>
      </w:pPr>
      <w:r>
        <w:t xml:space="preserve"/>
      </w:r>
    </w:p>
    <w:p>
      <w:pPr>
        <w:pStyle w:val="Heading2"/>
        <w:spacing w:after="160" w:before="360"/>
      </w:pPr>
      <w:r>
        <w:rPr>
          <w:rFonts w:ascii="Arial" w:cs="Arial" w:eastAsia="Arial" w:hAnsi="Arial"/>
          <w:b/>
          <w:bCs/>
          <w:color w:val="0A0F1E"/>
          <w:sz w:val="30"/>
          <w:szCs w:val="30"/>
        </w:rPr>
        <w:t xml:space="preserve">Phase 1 GTM: Content + SEO Authority (Months 1-6)</w:t>
      </w:r>
    </w:p>
    <w:p>
      <w:pPr>
        <w:spacing w:after="80" w:before="80"/>
      </w:pPr>
      <w:r>
        <w:rPr>
          <w:rFonts w:ascii="Arial" w:cs="Arial" w:eastAsia="Arial" w:hAnsi="Arial"/>
          <w:color w:val="1A202C"/>
          <w:sz w:val="22"/>
          <w:szCs w:val="22"/>
        </w:rPr>
        <w:t xml:space="preserve">Before we build a marketplace, we build an audience. The fastest way to win in information categories is to own Google and build an email list. We will publish the most comprehensive, unbiased, useful robotics content on the internet.</w:t>
      </w:r>
    </w:p>
    <w:p>
      <w:pPr>
        <w:spacing w:after="0" w:before="120"/>
      </w:pPr>
      <w:r>
        <w:t xml:space="preserve"/>
      </w:r>
    </w:p>
    <w:p>
      <w:pPr>
        <w:pStyle w:val="Heading3"/>
        <w:spacing w:after="120" w:before="280"/>
      </w:pPr>
      <w:r>
        <w:rPr>
          <w:rFonts w:ascii="Arial" w:cs="Arial" w:eastAsia="Arial" w:hAnsi="Arial"/>
          <w:b/>
          <w:bCs/>
          <w:color w:val="7B2FFF"/>
          <w:sz w:val="26"/>
          <w:szCs w:val="26"/>
        </w:rPr>
        <w:t xml:space="preserve">SEO Strategy</w:t>
      </w:r>
    </w:p>
    <w:p>
      <w:pPr>
        <w:pStyle w:val="ListParagraph"/>
        <w:numPr>
          <w:ilvl w:val="0"/>
          <w:numId w:val="2"/>
        </w:numPr>
        <w:spacing w:after="60" w:before="60"/>
      </w:pPr>
      <w:r>
        <w:rPr>
          <w:rFonts w:ascii="Arial" w:cs="Arial" w:eastAsia="Arial" w:hAnsi="Arial"/>
          <w:color w:val="1A202C"/>
          <w:sz w:val="22"/>
          <w:szCs w:val="22"/>
        </w:rPr>
        <w:t xml:space="preserve">Target: 10,000 high-intent, low-competition robotics keywords at launch</w:t>
      </w:r>
    </w:p>
    <w:p>
      <w:pPr>
        <w:pStyle w:val="ListParagraph"/>
        <w:numPr>
          <w:ilvl w:val="0"/>
          <w:numId w:val="2"/>
        </w:numPr>
        <w:spacing w:after="60" w:before="60"/>
      </w:pPr>
      <w:r>
        <w:rPr>
          <w:rFonts w:ascii="Arial" w:cs="Arial" w:eastAsia="Arial" w:hAnsi="Arial"/>
          <w:color w:val="1A202C"/>
          <w:sz w:val="22"/>
          <w:szCs w:val="22"/>
        </w:rPr>
        <w:t xml:space="preserve">Programmatic pages for every robot model ("Best iRobot Roomba J9+ Alternatives," "Roomba J9+ vs. S9+")</w:t>
      </w:r>
    </w:p>
    <w:p>
      <w:pPr>
        <w:pStyle w:val="ListParagraph"/>
        <w:numPr>
          <w:ilvl w:val="0"/>
          <w:numId w:val="2"/>
        </w:numPr>
        <w:spacing w:after="60" w:before="60"/>
      </w:pPr>
      <w:r>
        <w:rPr>
          <w:rFonts w:ascii="Arial" w:cs="Arial" w:eastAsia="Arial" w:hAnsi="Arial"/>
          <w:color w:val="1A202C"/>
          <w:sz w:val="22"/>
          <w:szCs w:val="22"/>
        </w:rPr>
        <w:t xml:space="preserve">Structured data markup — product schema, review schema, FAQ schema for rich results</w:t>
      </w:r>
    </w:p>
    <w:p>
      <w:pPr>
        <w:pStyle w:val="ListParagraph"/>
        <w:numPr>
          <w:ilvl w:val="0"/>
          <w:numId w:val="2"/>
        </w:numPr>
        <w:spacing w:after="60" w:before="60"/>
      </w:pPr>
      <w:r>
        <w:rPr>
          <w:rFonts w:ascii="Arial" w:cs="Arial" w:eastAsia="Arial" w:hAnsi="Arial"/>
          <w:color w:val="1A202C"/>
          <w:sz w:val="22"/>
          <w:szCs w:val="22"/>
        </w:rPr>
        <w:t xml:space="preserve">Target: 500,000 organic monthly visits by end of Month 12</w:t>
      </w:r>
    </w:p>
    <w:p>
      <w:pPr>
        <w:spacing w:after="0" w:before="120"/>
      </w:pPr>
      <w:r>
        <w:t xml:space="preserve"/>
      </w:r>
    </w:p>
    <w:p>
      <w:pPr>
        <w:pStyle w:val="Heading3"/>
        <w:spacing w:after="120" w:before="280"/>
      </w:pPr>
      <w:r>
        <w:rPr>
          <w:rFonts w:ascii="Arial" w:cs="Arial" w:eastAsia="Arial" w:hAnsi="Arial"/>
          <w:b/>
          <w:bCs/>
          <w:color w:val="7B2FFF"/>
          <w:sz w:val="26"/>
          <w:szCs w:val="26"/>
        </w:rPr>
        <w:t xml:space="preserve">Content Strategy</w:t>
      </w:r>
    </w:p>
    <w:p>
      <w:pPr>
        <w:pStyle w:val="ListParagraph"/>
        <w:numPr>
          <w:ilvl w:val="0"/>
          <w:numId w:val="2"/>
        </w:numPr>
        <w:spacing w:after="60" w:before="60"/>
      </w:pPr>
      <w:r>
        <w:rPr>
          <w:rFonts w:ascii="Arial" w:cs="Arial" w:eastAsia="Arial" w:hAnsi="Arial"/>
          <w:color w:val="1A202C"/>
          <w:sz w:val="22"/>
          <w:szCs w:val="22"/>
        </w:rPr>
        <w:t xml:space="preserve">"Best Of" guides for every category — refreshed quarterly, cited by press</w:t>
      </w:r>
    </w:p>
    <w:p>
      <w:pPr>
        <w:pStyle w:val="ListParagraph"/>
        <w:numPr>
          <w:ilvl w:val="0"/>
          <w:numId w:val="2"/>
        </w:numPr>
        <w:spacing w:after="60" w:before="60"/>
      </w:pPr>
      <w:r>
        <w:rPr>
          <w:rFonts w:ascii="Arial" w:cs="Arial" w:eastAsia="Arial" w:hAnsi="Arial"/>
          <w:color w:val="1A202C"/>
          <w:sz w:val="22"/>
          <w:szCs w:val="22"/>
        </w:rPr>
        <w:t xml:space="preserve">Robot release calendar — track and preview every announced product</w:t>
      </w:r>
    </w:p>
    <w:p>
      <w:pPr>
        <w:pStyle w:val="ListParagraph"/>
        <w:numPr>
          <w:ilvl w:val="0"/>
          <w:numId w:val="2"/>
        </w:numPr>
        <w:spacing w:after="60" w:before="60"/>
      </w:pPr>
      <w:r>
        <w:rPr>
          <w:rFonts w:ascii="Arial" w:cs="Arial" w:eastAsia="Arial" w:hAnsi="Arial"/>
          <w:color w:val="1A202C"/>
          <w:sz w:val="22"/>
          <w:szCs w:val="22"/>
        </w:rPr>
        <w:t xml:space="preserve">Weekly newsletter "The RoboNexus Brief" — industry news, new reviews, deal alerts</w:t>
      </w:r>
    </w:p>
    <w:p>
      <w:pPr>
        <w:pStyle w:val="ListParagraph"/>
        <w:numPr>
          <w:ilvl w:val="0"/>
          <w:numId w:val="2"/>
        </w:numPr>
        <w:spacing w:after="60" w:before="60"/>
      </w:pPr>
      <w:r>
        <w:rPr>
          <w:rFonts w:ascii="Arial" w:cs="Arial" w:eastAsia="Arial" w:hAnsi="Arial"/>
          <w:color w:val="1A202C"/>
          <w:sz w:val="22"/>
          <w:szCs w:val="22"/>
        </w:rPr>
        <w:t xml:space="preserve">YouTube channel — in-depth video reviews, comparison videos, lab demos</w:t>
      </w:r>
    </w:p>
    <w:p>
      <w:pPr>
        <w:pStyle w:val="ListParagraph"/>
        <w:numPr>
          <w:ilvl w:val="0"/>
          <w:numId w:val="2"/>
        </w:numPr>
        <w:spacing w:after="60" w:before="60"/>
      </w:pPr>
      <w:r>
        <w:rPr>
          <w:rFonts w:ascii="Arial" w:cs="Arial" w:eastAsia="Arial" w:hAnsi="Arial"/>
          <w:color w:val="1A202C"/>
          <w:sz w:val="22"/>
          <w:szCs w:val="22"/>
        </w:rPr>
        <w:t xml:space="preserve">Twitter/X and LinkedIn thought leadership from founding team</w:t>
      </w:r>
    </w:p>
    <w:p>
      <w:pPr>
        <w:spacing w:after="0" w:before="120"/>
      </w:pPr>
      <w:r>
        <w:t xml:space="preserve"/>
      </w:r>
    </w:p>
    <w:p>
      <w:pPr>
        <w:pStyle w:val="Heading2"/>
        <w:spacing w:after="160" w:before="360"/>
      </w:pPr>
      <w:r>
        <w:rPr>
          <w:rFonts w:ascii="Arial" w:cs="Arial" w:eastAsia="Arial" w:hAnsi="Arial"/>
          <w:b/>
          <w:bCs/>
          <w:color w:val="0A0F1E"/>
          <w:sz w:val="30"/>
          <w:szCs w:val="30"/>
        </w:rPr>
        <w:t xml:space="preserve">Phase 2 GTM: Community &amp; Virality (Months 7-14)</w:t>
      </w:r>
    </w:p>
    <w:p>
      <w:pPr>
        <w:pStyle w:val="ListParagraph"/>
        <w:numPr>
          <w:ilvl w:val="0"/>
          <w:numId w:val="2"/>
        </w:numPr>
        <w:spacing w:after="60" w:before="60"/>
      </w:pPr>
      <w:r>
        <w:rPr>
          <w:rFonts w:ascii="Arial" w:cs="Arial" w:eastAsia="Arial" w:hAnsi="Arial"/>
          <w:color w:val="1A202C"/>
          <w:sz w:val="22"/>
          <w:szCs w:val="22"/>
        </w:rPr>
        <w:t xml:space="preserve">"Robot Owner" community — verified purchase reviews, tips, projects</w:t>
      </w:r>
    </w:p>
    <w:p>
      <w:pPr>
        <w:pStyle w:val="ListParagraph"/>
        <w:numPr>
          <w:ilvl w:val="0"/>
          <w:numId w:val="2"/>
        </w:numPr>
        <w:spacing w:after="60" w:before="60"/>
      </w:pPr>
      <w:r>
        <w:rPr>
          <w:rFonts w:ascii="Arial" w:cs="Arial" w:eastAsia="Arial" w:hAnsi="Arial"/>
          <w:color w:val="1A202C"/>
          <w:sz w:val="22"/>
          <w:szCs w:val="22"/>
        </w:rPr>
        <w:t xml:space="preserve">Refer-a-friend program — $25 marketplace credit per referral</w:t>
      </w:r>
    </w:p>
    <w:p>
      <w:pPr>
        <w:pStyle w:val="ListParagraph"/>
        <w:numPr>
          <w:ilvl w:val="0"/>
          <w:numId w:val="2"/>
        </w:numPr>
        <w:spacing w:after="60" w:before="60"/>
      </w:pPr>
      <w:r>
        <w:rPr>
          <w:rFonts w:ascii="Arial" w:cs="Arial" w:eastAsia="Arial" w:hAnsi="Arial"/>
          <w:color w:val="1A202C"/>
          <w:sz w:val="22"/>
          <w:szCs w:val="22"/>
        </w:rPr>
        <w:t xml:space="preserve">Manufacturer launch partnerships — exclusive reviews for new product launches</w:t>
      </w:r>
    </w:p>
    <w:p>
      <w:pPr>
        <w:pStyle w:val="ListParagraph"/>
        <w:numPr>
          <w:ilvl w:val="0"/>
          <w:numId w:val="2"/>
        </w:numPr>
        <w:spacing w:after="60" w:before="60"/>
      </w:pPr>
      <w:r>
        <w:rPr>
          <w:rFonts w:ascii="Arial" w:cs="Arial" w:eastAsia="Arial" w:hAnsi="Arial"/>
          <w:color w:val="1A202C"/>
          <w:sz w:val="22"/>
          <w:szCs w:val="22"/>
        </w:rPr>
        <w:t xml:space="preserve">Influencer/creator program — revenue share for content creators who drive marketplace GMV</w:t>
      </w:r>
    </w:p>
    <w:p>
      <w:pPr>
        <w:pStyle w:val="ListParagraph"/>
        <w:numPr>
          <w:ilvl w:val="0"/>
          <w:numId w:val="2"/>
        </w:numPr>
        <w:spacing w:after="60" w:before="60"/>
      </w:pPr>
      <w:r>
        <w:rPr>
          <w:rFonts w:ascii="Arial" w:cs="Arial" w:eastAsia="Arial" w:hAnsi="Arial"/>
          <w:color w:val="1A202C"/>
          <w:sz w:val="22"/>
          <w:szCs w:val="22"/>
        </w:rPr>
        <w:t xml:space="preserve">PR strategy — target WSJ, NYT Tech, TechCrunch, The Verge as primary channels</w:t>
      </w:r>
    </w:p>
    <w:p>
      <w:pPr>
        <w:spacing w:after="0" w:before="120"/>
      </w:pPr>
      <w:r>
        <w:t xml:space="preserve"/>
      </w:r>
    </w:p>
    <w:p>
      <w:pPr>
        <w:pStyle w:val="Heading2"/>
        <w:spacing w:after="160" w:before="360"/>
      </w:pPr>
      <w:r>
        <w:rPr>
          <w:rFonts w:ascii="Arial" w:cs="Arial" w:eastAsia="Arial" w:hAnsi="Arial"/>
          <w:b/>
          <w:bCs/>
          <w:color w:val="0A0F1E"/>
          <w:sz w:val="30"/>
          <w:szCs w:val="30"/>
        </w:rPr>
        <w:t xml:space="preserve">Phase 3 GTM: Enterprise &amp; B2B (Months 15+)</w:t>
      </w:r>
    </w:p>
    <w:p>
      <w:pPr>
        <w:pStyle w:val="ListParagraph"/>
        <w:numPr>
          <w:ilvl w:val="0"/>
          <w:numId w:val="2"/>
        </w:numPr>
        <w:spacing w:after="60" w:before="60"/>
      </w:pPr>
      <w:r>
        <w:rPr>
          <w:rFonts w:ascii="Arial" w:cs="Arial" w:eastAsia="Arial" w:hAnsi="Arial"/>
          <w:color w:val="1A202C"/>
          <w:sz w:val="22"/>
          <w:szCs w:val="22"/>
        </w:rPr>
        <w:t xml:space="preserve">LinkedIn outbound targeting Operations, Facilities, and IT buyer personas</w:t>
      </w:r>
    </w:p>
    <w:p>
      <w:pPr>
        <w:pStyle w:val="ListParagraph"/>
        <w:numPr>
          <w:ilvl w:val="0"/>
          <w:numId w:val="2"/>
        </w:numPr>
        <w:spacing w:after="60" w:before="60"/>
      </w:pPr>
      <w:r>
        <w:rPr>
          <w:rFonts w:ascii="Arial" w:cs="Arial" w:eastAsia="Arial" w:hAnsi="Arial"/>
          <w:color w:val="1A202C"/>
          <w:sz w:val="22"/>
          <w:szCs w:val="22"/>
        </w:rPr>
        <w:t xml:space="preserve">Partnerships with management consultants, system integrators, and robotics distributors</w:t>
      </w:r>
    </w:p>
    <w:p>
      <w:pPr>
        <w:pStyle w:val="ListParagraph"/>
        <w:numPr>
          <w:ilvl w:val="0"/>
          <w:numId w:val="2"/>
        </w:numPr>
        <w:spacing w:after="60" w:before="60"/>
      </w:pPr>
      <w:r>
        <w:rPr>
          <w:rFonts w:ascii="Arial" w:cs="Arial" w:eastAsia="Arial" w:hAnsi="Arial"/>
          <w:color w:val="1A202C"/>
          <w:sz w:val="22"/>
          <w:szCs w:val="22"/>
        </w:rPr>
        <w:t xml:space="preserve">Conference presence — ICRA, ROSCon, CES, MODEX, ProMat, HIMSS</w:t>
      </w:r>
    </w:p>
    <w:p>
      <w:pPr>
        <w:pStyle w:val="ListParagraph"/>
        <w:numPr>
          <w:ilvl w:val="0"/>
          <w:numId w:val="2"/>
        </w:numPr>
        <w:spacing w:after="60" w:before="60"/>
      </w:pPr>
      <w:r>
        <w:rPr>
          <w:rFonts w:ascii="Arial" w:cs="Arial" w:eastAsia="Arial" w:hAnsi="Arial"/>
          <w:color w:val="1A202C"/>
          <w:sz w:val="22"/>
          <w:szCs w:val="22"/>
        </w:rPr>
        <w:t xml:space="preserve">Channel partner program — resellers earn 20% recurring on Enterprise deals they source</w:t>
      </w:r>
    </w:p>
    <w:p>
      <w:pPr>
        <w:spacing w:after="0" w:before="120"/>
      </w:pPr>
      <w:r>
        <w:t xml:space="preserve"/>
      </w:r>
    </w:p>
    <w:p>
      <w:pPr>
        <w:pStyle w:val="Heading2"/>
        <w:spacing w:after="160" w:before="360"/>
      </w:pPr>
      <w:r>
        <w:rPr>
          <w:rFonts w:ascii="Arial" w:cs="Arial" w:eastAsia="Arial" w:hAnsi="Arial"/>
          <w:b/>
          <w:bCs/>
          <w:color w:val="0A0F1E"/>
          <w:sz w:val="30"/>
          <w:szCs w:val="30"/>
        </w:rPr>
        <w:t xml:space="preserve">Key Partnerships to Pursue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E2E8F0" w:sz="1"/>
              <w:left w:val="single" w:color="E2E8F0" w:sz="1"/>
              <w:bottom w:val="single" w:color="E2E8F0" w:sz="1"/>
              <w:right w:val="single" w:color="E2E8F0" w:sz="1"/>
            </w:tcBorders>
            <w:shd w:fill="0A0F1E" w:val="clear"/>
            <w:tcMar>
              <w:top w:type="dxa" w:w="80"/>
              <w:left w:type="dxa" w:w="120"/>
              <w:bottom w:type="dxa" w:w="80"/>
              <w:right w:type="dxa" w:w="80"/>
            </w:tcMar>
          </w:tcPr>
          <w:p>
            <w:r>
              <w:rPr>
                <w:rFonts w:ascii="Arial" w:cs="Arial" w:eastAsia="Arial" w:hAnsi="Arial"/>
                <w:b/>
                <w:bCs/>
                <w:color w:val="FFFFFF"/>
                <w:sz w:val="20"/>
                <w:szCs w:val="20"/>
              </w:rPr>
              <w:t xml:space="preserve">Partner Type</w:t>
            </w:r>
          </w:p>
        </w:tc>
        <w:tc>
          <w:tcPr>
            <w:tcW w:type="dxa" w:w="3500"/>
            <w:tcBorders>
              <w:top w:val="single" w:color="E2E8F0" w:sz="1"/>
              <w:left w:val="single" w:color="E2E8F0" w:sz="1"/>
              <w:bottom w:val="single" w:color="E2E8F0" w:sz="1"/>
              <w:right w:val="single" w:color="E2E8F0" w:sz="1"/>
            </w:tcBorders>
            <w:shd w:fill="0A0F1E" w:val="clear"/>
            <w:tcMar>
              <w:top w:type="dxa" w:w="80"/>
              <w:left w:type="dxa" w:w="120"/>
              <w:bottom w:type="dxa" w:w="80"/>
              <w:right w:type="dxa" w:w="80"/>
            </w:tcMar>
          </w:tcPr>
          <w:p>
            <w:r>
              <w:rPr>
                <w:rFonts w:ascii="Arial" w:cs="Arial" w:eastAsia="Arial" w:hAnsi="Arial"/>
                <w:b/>
                <w:bCs/>
                <w:color w:val="FFFFFF"/>
                <w:sz w:val="20"/>
                <w:szCs w:val="20"/>
              </w:rPr>
              <w:t xml:space="preserve">Examples</w:t>
            </w:r>
          </w:p>
        </w:tc>
        <w:tc>
          <w:tcPr>
            <w:tcW w:type="dxa" w:w="3360"/>
            <w:tcBorders>
              <w:top w:val="single" w:color="E2E8F0" w:sz="1"/>
              <w:left w:val="single" w:color="E2E8F0" w:sz="1"/>
              <w:bottom w:val="single" w:color="E2E8F0" w:sz="1"/>
              <w:right w:val="single" w:color="E2E8F0" w:sz="1"/>
            </w:tcBorders>
            <w:shd w:fill="0A0F1E" w:val="clear"/>
            <w:tcMar>
              <w:top w:type="dxa" w:w="80"/>
              <w:left w:type="dxa" w:w="120"/>
              <w:bottom w:type="dxa" w:w="80"/>
              <w:right w:type="dxa" w:w="80"/>
            </w:tcMar>
          </w:tcPr>
          <w:p>
            <w:r>
              <w:rPr>
                <w:rFonts w:ascii="Arial" w:cs="Arial" w:eastAsia="Arial" w:hAnsi="Arial"/>
                <w:b/>
                <w:bCs/>
                <w:color w:val="FFFFFF"/>
                <w:sz w:val="20"/>
                <w:szCs w:val="20"/>
              </w:rPr>
              <w:t xml:space="preserve">Value Exchange</w:t>
            </w:r>
          </w:p>
        </w:tc>
      </w:tr>
      <w:tr>
        <w:tc>
          <w:tcPr>
            <w:tcW w:type="dxa" w:w="2500"/>
            <w:tcBorders>
              <w:top w:val="single" w:color="E2E8F0" w:sz="1"/>
              <w:left w:val="single" w:color="E2E8F0" w:sz="1"/>
              <w:bottom w:val="single" w:color="E2E8F0" w:sz="1"/>
              <w:right w:val="single" w:color="E2E8F0" w:sz="1"/>
            </w:tcBorders>
            <w:shd w:fill="F4F6FB" w:val="clear"/>
            <w:tcMar>
              <w:top w:type="dxa" w:w="80"/>
              <w:left w:type="dxa" w:w="120"/>
              <w:bottom w:type="dxa" w:w="80"/>
              <w:right w:type="dxa" w:w="80"/>
            </w:tcMar>
          </w:tcPr>
          <w:p>
            <w:r>
              <w:rPr>
                <w:rFonts w:ascii="Arial" w:cs="Arial" w:eastAsia="Arial" w:hAnsi="Arial"/>
                <w:b/>
                <w:bCs/>
                <w:color w:val="1A202C"/>
                <w:sz w:val="19"/>
                <w:szCs w:val="19"/>
              </w:rPr>
              <w:t xml:space="preserve">Robot Manufacturers</w:t>
            </w:r>
          </w:p>
        </w:tc>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19"/>
                <w:szCs w:val="19"/>
              </w:rPr>
              <w:t xml:space="preserve">iRobot, Ecovacs, Figure, 1X, Boston Dynamics, FANUC</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19"/>
                <w:szCs w:val="19"/>
              </w:rPr>
              <w:t xml:space="preserve">Structured data feed → placement + sales channel</w:t>
            </w:r>
          </w:p>
        </w:tc>
      </w:tr>
      <w:tr>
        <w:tc>
          <w:tcPr>
            <w:tcW w:type="dxa" w:w="2500"/>
            <w:tcBorders>
              <w:top w:val="single" w:color="E2E8F0" w:sz="1"/>
              <w:left w:val="single" w:color="E2E8F0" w:sz="1"/>
              <w:bottom w:val="single" w:color="E2E8F0" w:sz="1"/>
              <w:right w:val="single" w:color="E2E8F0" w:sz="1"/>
            </w:tcBorders>
            <w:shd w:fill="F4F6FB" w:val="clear"/>
            <w:tcMar>
              <w:top w:type="dxa" w:w="80"/>
              <w:left w:type="dxa" w:w="120"/>
              <w:bottom w:type="dxa" w:w="80"/>
              <w:right w:type="dxa" w:w="80"/>
            </w:tcMar>
          </w:tcPr>
          <w:p>
            <w:r>
              <w:rPr>
                <w:rFonts w:ascii="Arial" w:cs="Arial" w:eastAsia="Arial" w:hAnsi="Arial"/>
                <w:b/>
                <w:bCs/>
                <w:color w:val="1A202C"/>
                <w:sz w:val="19"/>
                <w:szCs w:val="19"/>
              </w:rPr>
              <w:t xml:space="preserve">Retailers</w:t>
            </w:r>
          </w:p>
        </w:tc>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19"/>
                <w:szCs w:val="19"/>
              </w:rPr>
              <w:t xml:space="preserve">Best Buy, Amazon, B&amp;H, CDW</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19"/>
                <w:szCs w:val="19"/>
              </w:rPr>
              <w:t xml:space="preserve">Affiliate + co-marketing → GMV and revenue</w:t>
            </w:r>
          </w:p>
        </w:tc>
      </w:tr>
      <w:tr>
        <w:tc>
          <w:tcPr>
            <w:tcW w:type="dxa" w:w="2500"/>
            <w:tcBorders>
              <w:top w:val="single" w:color="E2E8F0" w:sz="1"/>
              <w:left w:val="single" w:color="E2E8F0" w:sz="1"/>
              <w:bottom w:val="single" w:color="E2E8F0" w:sz="1"/>
              <w:right w:val="single" w:color="E2E8F0" w:sz="1"/>
            </w:tcBorders>
            <w:shd w:fill="F4F6FB" w:val="clear"/>
            <w:tcMar>
              <w:top w:type="dxa" w:w="80"/>
              <w:left w:type="dxa" w:w="120"/>
              <w:bottom w:type="dxa" w:w="80"/>
              <w:right w:type="dxa" w:w="80"/>
            </w:tcMar>
          </w:tcPr>
          <w:p>
            <w:r>
              <w:rPr>
                <w:rFonts w:ascii="Arial" w:cs="Arial" w:eastAsia="Arial" w:hAnsi="Arial"/>
                <w:b/>
                <w:bCs/>
                <w:color w:val="1A202C"/>
                <w:sz w:val="19"/>
                <w:szCs w:val="19"/>
              </w:rPr>
              <w:t xml:space="preserve">System Integrators</w:t>
            </w:r>
          </w:p>
        </w:tc>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19"/>
                <w:szCs w:val="19"/>
              </w:rPr>
              <w:t xml:space="preserve">Bastian Solutions, Fortna, Swisslog</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19"/>
                <w:szCs w:val="19"/>
              </w:rPr>
              <w:t xml:space="preserve">Lead referral → Enterprise revenue share</w:t>
            </w:r>
          </w:p>
        </w:tc>
      </w:tr>
      <w:tr>
        <w:tc>
          <w:tcPr>
            <w:tcW w:type="dxa" w:w="2500"/>
            <w:tcBorders>
              <w:top w:val="single" w:color="E2E8F0" w:sz="1"/>
              <w:left w:val="single" w:color="E2E8F0" w:sz="1"/>
              <w:bottom w:val="single" w:color="E2E8F0" w:sz="1"/>
              <w:right w:val="single" w:color="E2E8F0" w:sz="1"/>
            </w:tcBorders>
            <w:shd w:fill="F4F6FB" w:val="clear"/>
            <w:tcMar>
              <w:top w:type="dxa" w:w="80"/>
              <w:left w:type="dxa" w:w="120"/>
              <w:bottom w:type="dxa" w:w="80"/>
              <w:right w:type="dxa" w:w="80"/>
            </w:tcMar>
          </w:tcPr>
          <w:p>
            <w:r>
              <w:rPr>
                <w:rFonts w:ascii="Arial" w:cs="Arial" w:eastAsia="Arial" w:hAnsi="Arial"/>
                <w:b/>
                <w:bCs/>
                <w:color w:val="1A202C"/>
                <w:sz w:val="19"/>
                <w:szCs w:val="19"/>
              </w:rPr>
              <w:t xml:space="preserve">Insurance/Warranty</w:t>
            </w:r>
          </w:p>
        </w:tc>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19"/>
                <w:szCs w:val="19"/>
              </w:rPr>
              <w:t xml:space="preserve">Extend, Assurant, Cover Genius</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19"/>
                <w:szCs w:val="19"/>
              </w:rPr>
              <w:t xml:space="preserve">Extended warranty upsell → 5-8% GMV</w:t>
            </w:r>
          </w:p>
        </w:tc>
      </w:tr>
      <w:tr>
        <w:tc>
          <w:tcPr>
            <w:tcW w:type="dxa" w:w="2500"/>
            <w:tcBorders>
              <w:top w:val="single" w:color="E2E8F0" w:sz="1"/>
              <w:left w:val="single" w:color="E2E8F0" w:sz="1"/>
              <w:bottom w:val="single" w:color="E2E8F0" w:sz="1"/>
              <w:right w:val="single" w:color="E2E8F0" w:sz="1"/>
            </w:tcBorders>
            <w:shd w:fill="F4F6FB" w:val="clear"/>
            <w:tcMar>
              <w:top w:type="dxa" w:w="80"/>
              <w:left w:type="dxa" w:w="120"/>
              <w:bottom w:type="dxa" w:w="80"/>
              <w:right w:type="dxa" w:w="80"/>
            </w:tcMar>
          </w:tcPr>
          <w:p>
            <w:r>
              <w:rPr>
                <w:rFonts w:ascii="Arial" w:cs="Arial" w:eastAsia="Arial" w:hAnsi="Arial"/>
                <w:b/>
                <w:bCs/>
                <w:color w:val="1A202C"/>
                <w:sz w:val="19"/>
                <w:szCs w:val="19"/>
              </w:rPr>
              <w:t xml:space="preserve">Financing</w:t>
            </w:r>
          </w:p>
        </w:tc>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19"/>
                <w:szCs w:val="19"/>
              </w:rPr>
              <w:t xml:space="preserve">Affirm, Stripe Capital, BNPL providers</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19"/>
                <w:szCs w:val="19"/>
              </w:rPr>
              <w:t xml:space="preserve">Financing options → conversion lift + rev share</w:t>
            </w:r>
          </w:p>
        </w:tc>
      </w:tr>
      <w:tr>
        <w:tc>
          <w:tcPr>
            <w:tcW w:type="dxa" w:w="2500"/>
            <w:tcBorders>
              <w:top w:val="single" w:color="E2E8F0" w:sz="1"/>
              <w:left w:val="single" w:color="E2E8F0" w:sz="1"/>
              <w:bottom w:val="single" w:color="E2E8F0" w:sz="1"/>
              <w:right w:val="single" w:color="E2E8F0" w:sz="1"/>
            </w:tcBorders>
            <w:shd w:fill="F4F6FB" w:val="clear"/>
            <w:tcMar>
              <w:top w:type="dxa" w:w="80"/>
              <w:left w:type="dxa" w:w="120"/>
              <w:bottom w:type="dxa" w:w="80"/>
              <w:right w:type="dxa" w:w="80"/>
            </w:tcMar>
          </w:tcPr>
          <w:p>
            <w:r>
              <w:rPr>
                <w:rFonts w:ascii="Arial" w:cs="Arial" w:eastAsia="Arial" w:hAnsi="Arial"/>
                <w:b/>
                <w:bCs/>
                <w:color w:val="1A202C"/>
                <w:sz w:val="19"/>
                <w:szCs w:val="19"/>
              </w:rPr>
              <w:t xml:space="preserve">Robotics Labs</w:t>
            </w:r>
          </w:p>
        </w:tc>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19"/>
                <w:szCs w:val="19"/>
              </w:rPr>
              <w:t xml:space="preserve">MIT CSAIL, CMU RI, Stanford AI Lab</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19"/>
                <w:szCs w:val="19"/>
              </w:rPr>
              <w:t xml:space="preserve">Credibility, expert reviews, structured data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0A0F1E" w:val="clear"/>
            <w:tcMar>
              <w:top w:type="dxa" w:w="120"/>
              <w:left w:type="dxa" w:w="160"/>
              <w:bottom w:type="dxa" w:w="120"/>
              <w:right w:type="dxa" w:w="160"/>
            </w:tcMar>
            <w:vAlign w:val="center"/>
          </w:tcPr>
          <w:p>
            <w:pPr>
              <w:jc w:val="center"/>
            </w:pPr>
            <w:r>
              <w:rPr>
                <w:rFonts w:ascii="Arial" w:cs="Arial" w:eastAsia="Arial" w:hAnsi="Arial"/>
                <w:b/>
                <w:bCs/>
                <w:color w:val="00C2FF"/>
                <w:sz w:val="28"/>
                <w:szCs w:val="28"/>
              </w:rPr>
              <w:t xml:space="preserve">08</w:t>
            </w:r>
          </w:p>
        </w:tc>
        <w:tc>
          <w:tcPr>
            <w:tcW w:type="dxa" w:w="8560"/>
            <w:tcBorders>
              <w:top w:val="none" w:color="FFFFFF" w:sz="0"/>
              <w:left w:val="none" w:color="FFFFFF" w:sz="0"/>
              <w:bottom w:val="none" w:color="FFFFFF" w:sz="0"/>
              <w:right w:val="none" w:color="FFFFFF" w:sz="0"/>
            </w:tcBorders>
            <w:shd w:fill="F4F6FB" w:val="clear"/>
            <w:tcMar>
              <w:top w:type="dxa" w:w="120"/>
              <w:left w:type="dxa" w:w="200"/>
              <w:bottom w:type="dxa" w:w="120"/>
              <w:right w:type="dxa" w:w="160"/>
            </w:tcMar>
            <w:vAlign w:val="center"/>
          </w:tcPr>
          <w:p>
            <w:r>
              <w:rPr>
                <w:rFonts w:ascii="Arial" w:cs="Arial" w:eastAsia="Arial" w:hAnsi="Arial"/>
                <w:b/>
                <w:bCs/>
                <w:color w:val="0A0F1E"/>
                <w:spacing w:val="40"/>
                <w:sz w:val="28"/>
                <w:szCs w:val="28"/>
              </w:rPr>
              <w:t xml:space="preserve">REVENUE MODEL &amp; PATH TO $10M MRR</w:t>
            </w:r>
          </w:p>
        </w:tc>
      </w:tr>
    </w:tbl>
    <w:p>
      <w:pPr>
        <w:spacing w:after="0" w:before="120"/>
      </w:pPr>
      <w:r>
        <w:t xml:space="preserve"/>
      </w:r>
    </w:p>
    <w:p>
      <w:pPr>
        <w:pStyle w:val="Heading2"/>
        <w:spacing w:after="160" w:before="360"/>
      </w:pPr>
      <w:r>
        <w:rPr>
          <w:rFonts w:ascii="Arial" w:cs="Arial" w:eastAsia="Arial" w:hAnsi="Arial"/>
          <w:b/>
          <w:bCs/>
          <w:color w:val="0A0F1E"/>
          <w:sz w:val="30"/>
          <w:szCs w:val="30"/>
        </w:rPr>
        <w:t xml:space="preserve">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600"/>
        <w:gridCol w:w="2560"/>
      </w:tblGrid>
      <w:tr>
        <w:trPr>
          <w:tblHeader/>
        </w:trPr>
        <w:tc>
          <w:tcPr>
            <w:tcW w:type="dxa" w:w="2200"/>
            <w:tcBorders>
              <w:top w:val="single" w:color="E2E8F0" w:sz="1"/>
              <w:left w:val="single" w:color="E2E8F0" w:sz="1"/>
              <w:bottom w:val="single" w:color="E2E8F0" w:sz="1"/>
              <w:right w:val="single" w:color="E2E8F0" w:sz="1"/>
            </w:tcBorders>
            <w:shd w:fill="0A0F1E" w:val="clear"/>
            <w:tcMar>
              <w:top w:type="dxa" w:w="80"/>
              <w:left w:type="dxa" w:w="120"/>
              <w:bottom w:type="dxa" w:w="80"/>
              <w:right w:type="dxa" w:w="80"/>
            </w:tcMar>
          </w:tcPr>
          <w:p>
            <w:r>
              <w:rPr>
                <w:rFonts w:ascii="Arial" w:cs="Arial" w:eastAsia="Arial" w:hAnsi="Arial"/>
                <w:b/>
                <w:bCs/>
                <w:color w:val="FFFFFF"/>
                <w:sz w:val="20"/>
                <w:szCs w:val="20"/>
              </w:rPr>
              <w:t xml:space="preserve">Revenue Stream</w:t>
            </w:r>
          </w:p>
        </w:tc>
        <w:tc>
          <w:tcPr>
            <w:tcW w:type="dxa" w:w="3000"/>
            <w:tcBorders>
              <w:top w:val="single" w:color="E2E8F0" w:sz="1"/>
              <w:left w:val="single" w:color="E2E8F0" w:sz="1"/>
              <w:bottom w:val="single" w:color="E2E8F0" w:sz="1"/>
              <w:right w:val="single" w:color="E2E8F0" w:sz="1"/>
            </w:tcBorders>
            <w:shd w:fill="0A0F1E" w:val="clear"/>
            <w:tcMar>
              <w:top w:type="dxa" w:w="80"/>
              <w:left w:type="dxa" w:w="120"/>
              <w:bottom w:type="dxa" w:w="80"/>
              <w:right w:type="dxa" w:w="80"/>
            </w:tcMar>
          </w:tcPr>
          <w:p>
            <w:r>
              <w:rPr>
                <w:rFonts w:ascii="Arial" w:cs="Arial" w:eastAsia="Arial" w:hAnsi="Arial"/>
                <w:b/>
                <w:bCs/>
                <w:color w:val="FFFFFF"/>
                <w:sz w:val="20"/>
                <w:szCs w:val="20"/>
              </w:rPr>
              <w:t xml:space="preserve">Mechanism</w:t>
            </w:r>
          </w:p>
        </w:tc>
        <w:tc>
          <w:tcPr>
            <w:tcW w:type="dxa" w:w="1600"/>
            <w:tcBorders>
              <w:top w:val="single" w:color="E2E8F0" w:sz="1"/>
              <w:left w:val="single" w:color="E2E8F0" w:sz="1"/>
              <w:bottom w:val="single" w:color="E2E8F0" w:sz="1"/>
              <w:right w:val="single" w:color="E2E8F0" w:sz="1"/>
            </w:tcBorders>
            <w:shd w:fill="0A0F1E" w:val="clear"/>
            <w:tcMar>
              <w:top w:type="dxa" w:w="80"/>
              <w:left w:type="dxa" w:w="120"/>
              <w:bottom w:type="dxa" w:w="80"/>
              <w:right w:type="dxa" w:w="80"/>
            </w:tcMar>
          </w:tcPr>
          <w:p>
            <w:r>
              <w:rPr>
                <w:rFonts w:ascii="Arial" w:cs="Arial" w:eastAsia="Arial" w:hAnsi="Arial"/>
                <w:b/>
                <w:bCs/>
                <w:color w:val="FFFFFF"/>
                <w:sz w:val="20"/>
                <w:szCs w:val="20"/>
              </w:rPr>
              <w:t xml:space="preserve">Margin</w:t>
            </w:r>
          </w:p>
        </w:tc>
        <w:tc>
          <w:tcPr>
            <w:tcW w:type="dxa" w:w="2560"/>
            <w:tcBorders>
              <w:top w:val="single" w:color="E2E8F0" w:sz="1"/>
              <w:left w:val="single" w:color="E2E8F0" w:sz="1"/>
              <w:bottom w:val="single" w:color="E2E8F0" w:sz="1"/>
              <w:right w:val="single" w:color="E2E8F0" w:sz="1"/>
            </w:tcBorders>
            <w:shd w:fill="0A0F1E" w:val="clear"/>
            <w:tcMar>
              <w:top w:type="dxa" w:w="80"/>
              <w:left w:type="dxa" w:w="120"/>
              <w:bottom w:type="dxa" w:w="80"/>
              <w:right w:type="dxa" w:w="80"/>
            </w:tcMar>
          </w:tcPr>
          <w:p>
            <w:r>
              <w:rPr>
                <w:rFonts w:ascii="Arial" w:cs="Arial" w:eastAsia="Arial" w:hAnsi="Arial"/>
                <w:b/>
                <w:bCs/>
                <w:color w:val="FFFFFF"/>
                <w:sz w:val="20"/>
                <w:szCs w:val="20"/>
              </w:rPr>
              <w:t xml:space="preserve">MRR Target (Y3)</w:t>
            </w:r>
          </w:p>
        </w:tc>
      </w:tr>
      <w:tr>
        <w:tc>
          <w:tcPr>
            <w:tcW w:type="dxa" w:w="2200"/>
            <w:tcBorders>
              <w:top w:val="single" w:color="E2E8F0" w:sz="1"/>
              <w:left w:val="single" w:color="E2E8F0" w:sz="1"/>
              <w:bottom w:val="single" w:color="E2E8F0" w:sz="1"/>
              <w:right w:val="single" w:color="E2E8F0" w:sz="1"/>
            </w:tcBorders>
            <w:shd w:fill="F4F6FB" w:val="clear"/>
            <w:tcMar>
              <w:top w:type="dxa" w:w="80"/>
              <w:left w:type="dxa" w:w="120"/>
              <w:bottom w:type="dxa" w:w="80"/>
              <w:right w:type="dxa" w:w="80"/>
            </w:tcMar>
          </w:tcPr>
          <w:p>
            <w:r>
              <w:rPr>
                <w:rFonts w:ascii="Arial" w:cs="Arial" w:eastAsia="Arial" w:hAnsi="Arial"/>
                <w:b w:val="false"/>
                <w:bCs w:val="false"/>
                <w:color w:val="1A202C"/>
                <w:sz w:val="20"/>
                <w:szCs w:val="20"/>
              </w:rPr>
              <w:t xml:space="preserve">Marketplace GMV</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20"/>
                <w:szCs w:val="20"/>
              </w:rPr>
              <w:t xml:space="preserve">8-15% take rate on all marketplace transactions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20"/>
                <w:szCs w:val="20"/>
              </w:rPr>
              <w:t xml:space="preserve">85%+</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20"/>
                <w:szCs w:val="20"/>
              </w:rPr>
              <w:t xml:space="preserve">$3.5M</w:t>
            </w:r>
          </w:p>
        </w:tc>
      </w:tr>
      <w:tr>
        <w:tc>
          <w:tcPr>
            <w:tcW w:type="dxa" w:w="2200"/>
            <w:tcBorders>
              <w:top w:val="single" w:color="E2E8F0" w:sz="1"/>
              <w:left w:val="single" w:color="E2E8F0" w:sz="1"/>
              <w:bottom w:val="single" w:color="E2E8F0" w:sz="1"/>
              <w:right w:val="single" w:color="E2E8F0" w:sz="1"/>
            </w:tcBorders>
            <w:shd w:fill="F4F6FB" w:val="clear"/>
            <w:tcMar>
              <w:top w:type="dxa" w:w="80"/>
              <w:left w:type="dxa" w:w="120"/>
              <w:bottom w:type="dxa" w:w="80"/>
              <w:right w:type="dxa" w:w="80"/>
            </w:tcMar>
          </w:tcPr>
          <w:p>
            <w:r>
              <w:rPr>
                <w:rFonts w:ascii="Arial" w:cs="Arial" w:eastAsia="Arial" w:hAnsi="Arial"/>
                <w:b w:val="false"/>
                <w:bCs w:val="false"/>
                <w:color w:val="1A202C"/>
                <w:sz w:val="20"/>
                <w:szCs w:val="20"/>
              </w:rPr>
              <w:t xml:space="preserve">Affiliate Commerce</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20"/>
                <w:szCs w:val="20"/>
              </w:rPr>
              <w:t xml:space="preserve">5-12% commission via affiliate network</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20"/>
                <w:szCs w:val="20"/>
              </w:rPr>
              <w:t xml:space="preserve">95%+</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20"/>
                <w:szCs w:val="20"/>
              </w:rPr>
              <w:t xml:space="preserve">$1.8M</w:t>
            </w:r>
          </w:p>
        </w:tc>
      </w:tr>
      <w:tr>
        <w:tc>
          <w:tcPr>
            <w:tcW w:type="dxa" w:w="2200"/>
            <w:tcBorders>
              <w:top w:val="single" w:color="E2E8F0" w:sz="1"/>
              <w:left w:val="single" w:color="E2E8F0" w:sz="1"/>
              <w:bottom w:val="single" w:color="E2E8F0" w:sz="1"/>
              <w:right w:val="single" w:color="E2E8F0" w:sz="1"/>
            </w:tcBorders>
            <w:shd w:fill="F4F6FB" w:val="clear"/>
            <w:tcMar>
              <w:top w:type="dxa" w:w="80"/>
              <w:left w:type="dxa" w:w="120"/>
              <w:bottom w:type="dxa" w:w="80"/>
              <w:right w:type="dxa" w:w="80"/>
            </w:tcMar>
          </w:tcPr>
          <w:p>
            <w:r>
              <w:rPr>
                <w:rFonts w:ascii="Arial" w:cs="Arial" w:eastAsia="Arial" w:hAnsi="Arial"/>
                <w:b w:val="false"/>
                <w:bCs w:val="false"/>
                <w:color w:val="1A202C"/>
                <w:sz w:val="20"/>
                <w:szCs w:val="20"/>
              </w:rPr>
              <w:t xml:space="preserve">Pro Subscriptions</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20"/>
                <w:szCs w:val="20"/>
              </w:rPr>
              <w:t xml:space="preserve">$49/mo consumer, $299/mo enterprise</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20"/>
                <w:szCs w:val="20"/>
              </w:rPr>
              <w:t xml:space="preserve">90%+</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20"/>
                <w:szCs w:val="20"/>
              </w:rPr>
              <w:t xml:space="preserve">$2.2M</w:t>
            </w:r>
          </w:p>
        </w:tc>
      </w:tr>
      <w:tr>
        <w:tc>
          <w:tcPr>
            <w:tcW w:type="dxa" w:w="2200"/>
            <w:tcBorders>
              <w:top w:val="single" w:color="E2E8F0" w:sz="1"/>
              <w:left w:val="single" w:color="E2E8F0" w:sz="1"/>
              <w:bottom w:val="single" w:color="E2E8F0" w:sz="1"/>
              <w:right w:val="single" w:color="E2E8F0" w:sz="1"/>
            </w:tcBorders>
            <w:shd w:fill="F4F6FB" w:val="clear"/>
            <w:tcMar>
              <w:top w:type="dxa" w:w="80"/>
              <w:left w:type="dxa" w:w="120"/>
              <w:bottom w:type="dxa" w:w="80"/>
              <w:right w:type="dxa" w:w="80"/>
            </w:tcMar>
          </w:tcPr>
          <w:p>
            <w:r>
              <w:rPr>
                <w:rFonts w:ascii="Arial" w:cs="Arial" w:eastAsia="Arial" w:hAnsi="Arial"/>
                <w:b w:val="false"/>
                <w:bCs w:val="false"/>
                <w:color w:val="1A202C"/>
                <w:sz w:val="20"/>
                <w:szCs w:val="20"/>
              </w:rPr>
              <w:t xml:space="preserve">Enterprise SaaS</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20"/>
                <w:szCs w:val="20"/>
              </w:rPr>
              <w:t xml:space="preserve">$2,499+/mo fleet management and intelligence</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20"/>
                <w:szCs w:val="20"/>
              </w:rPr>
              <w:t xml:space="preserve">80%+</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20"/>
                <w:szCs w:val="20"/>
              </w:rPr>
              <w:t xml:space="preserve">$1.5M</w:t>
            </w:r>
          </w:p>
        </w:tc>
      </w:tr>
      <w:tr>
        <w:tc>
          <w:tcPr>
            <w:tcW w:type="dxa" w:w="2200"/>
            <w:tcBorders>
              <w:top w:val="single" w:color="E2E8F0" w:sz="1"/>
              <w:left w:val="single" w:color="E2E8F0" w:sz="1"/>
              <w:bottom w:val="single" w:color="E2E8F0" w:sz="1"/>
              <w:right w:val="single" w:color="E2E8F0" w:sz="1"/>
            </w:tcBorders>
            <w:shd w:fill="F4F6FB" w:val="clear"/>
            <w:tcMar>
              <w:top w:type="dxa" w:w="80"/>
              <w:left w:type="dxa" w:w="120"/>
              <w:bottom w:type="dxa" w:w="80"/>
              <w:right w:type="dxa" w:w="80"/>
            </w:tcMar>
          </w:tcPr>
          <w:p>
            <w:r>
              <w:rPr>
                <w:rFonts w:ascii="Arial" w:cs="Arial" w:eastAsia="Arial" w:hAnsi="Arial"/>
                <w:b w:val="false"/>
                <w:bCs w:val="false"/>
                <w:color w:val="1A202C"/>
                <w:sz w:val="20"/>
                <w:szCs w:val="20"/>
              </w:rPr>
              <w:t xml:space="preserve">Market Intelligence</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20"/>
                <w:szCs w:val="20"/>
              </w:rPr>
              <w:t xml:space="preserve">$2,500-$50,000 per report/subscription</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20"/>
                <w:szCs w:val="20"/>
              </w:rPr>
              <w:t xml:space="preserve">70%+</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20"/>
                <w:szCs w:val="20"/>
              </w:rPr>
              <w:t xml:space="preserve">$0.5M</w:t>
            </w:r>
          </w:p>
        </w:tc>
      </w:tr>
      <w:tr>
        <w:tc>
          <w:tcPr>
            <w:tcW w:type="dxa" w:w="2200"/>
            <w:tcBorders>
              <w:top w:val="single" w:color="E2E8F0" w:sz="1"/>
              <w:left w:val="single" w:color="E2E8F0" w:sz="1"/>
              <w:bottom w:val="single" w:color="E2E8F0" w:sz="1"/>
              <w:right w:val="single" w:color="E2E8F0" w:sz="1"/>
            </w:tcBorders>
            <w:shd w:fill="F4F6FB" w:val="clear"/>
            <w:tcMar>
              <w:top w:type="dxa" w:w="80"/>
              <w:left w:type="dxa" w:w="120"/>
              <w:bottom w:type="dxa" w:w="80"/>
              <w:right w:type="dxa" w:w="80"/>
            </w:tcMar>
          </w:tcPr>
          <w:p>
            <w:r>
              <w:rPr>
                <w:rFonts w:ascii="Arial" w:cs="Arial" w:eastAsia="Arial" w:hAnsi="Arial"/>
                <w:b w:val="false"/>
                <w:bCs w:val="false"/>
                <w:color w:val="1A202C"/>
                <w:sz w:val="20"/>
                <w:szCs w:val="20"/>
              </w:rPr>
              <w:t xml:space="preserve">White-Label Licensing</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20"/>
                <w:szCs w:val="20"/>
              </w:rPr>
              <w:t xml:space="preserve">$5,000-$50,000/mo per licensee</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20"/>
                <w:szCs w:val="20"/>
              </w:rPr>
              <w:t xml:space="preserve">75%+</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20"/>
                <w:szCs w:val="20"/>
              </w:rPr>
              <w:t xml:space="preserve">$0.3M</w:t>
            </w:r>
          </w:p>
        </w:tc>
      </w:tr>
      <w:tr>
        <w:tc>
          <w:tcPr>
            <w:tcW w:type="dxa" w:w="2200"/>
            <w:tcBorders>
              <w:top w:val="single" w:color="E2E8F0" w:sz="1"/>
              <w:left w:val="single" w:color="E2E8F0" w:sz="1"/>
              <w:bottom w:val="single" w:color="E2E8F0" w:sz="1"/>
              <w:right w:val="single" w:color="E2E8F0" w:sz="1"/>
            </w:tcBorders>
            <w:shd w:fill="F4F6FB" w:val="clear"/>
            <w:tcMar>
              <w:top w:type="dxa" w:w="80"/>
              <w:left w:type="dxa" w:w="120"/>
              <w:bottom w:type="dxa" w:w="80"/>
              <w:right w:type="dxa" w:w="80"/>
            </w:tcMar>
          </w:tcPr>
          <w:p>
            <w:r>
              <w:rPr>
                <w:rFonts w:ascii="Arial" w:cs="Arial" w:eastAsia="Arial" w:hAnsi="Arial"/>
                <w:b w:val="false"/>
                <w:bCs w:val="false"/>
                <w:color w:val="1A202C"/>
                <w:sz w:val="20"/>
                <w:szCs w:val="20"/>
              </w:rPr>
              <w:t xml:space="preserve">Advertising/Sponsored</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20"/>
                <w:szCs w:val="20"/>
              </w:rPr>
              <w:t xml:space="preserve">Manufacturer-sponsored placements, newsletters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20"/>
                <w:szCs w:val="20"/>
              </w:rPr>
              <w:t xml:space="preserve">95%+</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20"/>
                <w:szCs w:val="20"/>
              </w:rPr>
              <w:t xml:space="preserve">$0.2M</w:t>
            </w:r>
          </w:p>
        </w:tc>
      </w:tr>
      <w:tr>
        <w:tc>
          <w:tcPr>
            <w:tcW w:type="dxa" w:w="2200"/>
            <w:tcBorders>
              <w:top w:val="single" w:color="E2E8F0" w:sz="1"/>
              <w:left w:val="single" w:color="E2E8F0" w:sz="1"/>
              <w:bottom w:val="single" w:color="E2E8F0" w:sz="1"/>
              <w:right w:val="single" w:color="E2E8F0" w:sz="1"/>
            </w:tcBorders>
            <w:shd w:fill="0A0F1E" w:val="clear"/>
            <w:tcMar>
              <w:top w:type="dxa" w:w="80"/>
              <w:left w:type="dxa" w:w="120"/>
              <w:bottom w:type="dxa" w:w="80"/>
              <w:right w:type="dxa" w:w="80"/>
            </w:tcMar>
          </w:tcPr>
          <w:p>
            <w:r>
              <w:rPr>
                <w:rFonts w:ascii="Arial" w:cs="Arial" w:eastAsia="Arial" w:hAnsi="Arial"/>
                <w:b/>
                <w:bCs/>
                <w:color w:val="00C2FF"/>
                <w:sz w:val="20"/>
                <w:szCs w:val="20"/>
              </w:rPr>
              <w:t xml:space="preserve">TOTAL</w:t>
            </w:r>
          </w:p>
        </w:tc>
        <w:tc>
          <w:tcPr>
            <w:tcW w:type="dxa" w:w="3000"/>
            <w:tcBorders>
              <w:top w:val="single" w:color="E2E8F0" w:sz="1"/>
              <w:left w:val="single" w:color="E2E8F0" w:sz="1"/>
              <w:bottom w:val="single" w:color="E2E8F0" w:sz="1"/>
              <w:right w:val="single" w:color="E2E8F0" w:sz="1"/>
            </w:tcBorders>
            <w:shd w:fill="0A0F1E" w:val="clear"/>
            <w:tcMar>
              <w:top w:type="dxa" w:w="80"/>
              <w:left w:type="dxa" w:w="120"/>
              <w:bottom w:type="dxa" w:w="80"/>
              <w:right w:type="dxa" w:w="80"/>
            </w:tcMar>
          </w:tcPr>
          <w:p>
            <w:r>
              <w:rPr>
                <w:rFonts w:ascii="Arial" w:cs="Arial" w:eastAsia="Arial" w:hAnsi="Arial"/>
                <w:b/>
                <w:bCs/>
                <w:color w:val="00C2FF"/>
                <w:sz w:val="20"/>
                <w:szCs w:val="20"/>
              </w:rPr>
              <w:t xml:space="preserve"/>
            </w:r>
          </w:p>
        </w:tc>
        <w:tc>
          <w:tcPr>
            <w:tcW w:type="dxa" w:w="1600"/>
            <w:tcBorders>
              <w:top w:val="single" w:color="E2E8F0" w:sz="1"/>
              <w:left w:val="single" w:color="E2E8F0" w:sz="1"/>
              <w:bottom w:val="single" w:color="E2E8F0" w:sz="1"/>
              <w:right w:val="single" w:color="E2E8F0" w:sz="1"/>
            </w:tcBorders>
            <w:shd w:fill="0A0F1E" w:val="clear"/>
            <w:tcMar>
              <w:top w:type="dxa" w:w="80"/>
              <w:left w:type="dxa" w:w="120"/>
              <w:bottom w:type="dxa" w:w="80"/>
              <w:right w:type="dxa" w:w="80"/>
            </w:tcMar>
          </w:tcPr>
          <w:p>
            <w:r>
              <w:rPr>
                <w:rFonts w:ascii="Arial" w:cs="Arial" w:eastAsia="Arial" w:hAnsi="Arial"/>
                <w:b/>
                <w:bCs/>
                <w:color w:val="00C2FF"/>
                <w:sz w:val="20"/>
                <w:szCs w:val="20"/>
              </w:rPr>
              <w:t xml:space="preserve"/>
            </w:r>
          </w:p>
        </w:tc>
        <w:tc>
          <w:tcPr>
            <w:tcW w:type="dxa" w:w="2560"/>
            <w:tcBorders>
              <w:top w:val="single" w:color="E2E8F0" w:sz="1"/>
              <w:left w:val="single" w:color="E2E8F0" w:sz="1"/>
              <w:bottom w:val="single" w:color="E2E8F0" w:sz="1"/>
              <w:right w:val="single" w:color="E2E8F0" w:sz="1"/>
            </w:tcBorders>
            <w:shd w:fill="0A0F1E" w:val="clear"/>
            <w:tcMar>
              <w:top w:type="dxa" w:w="80"/>
              <w:left w:type="dxa" w:w="120"/>
              <w:bottom w:type="dxa" w:w="80"/>
              <w:right w:type="dxa" w:w="80"/>
            </w:tcMar>
          </w:tcPr>
          <w:p>
            <w:r>
              <w:rPr>
                <w:rFonts w:ascii="Arial" w:cs="Arial" w:eastAsia="Arial" w:hAnsi="Arial"/>
                <w:b/>
                <w:bCs/>
                <w:color w:val="00C2FF"/>
                <w:sz w:val="20"/>
                <w:szCs w:val="20"/>
              </w:rPr>
              <w:t xml:space="preserve">$10M MRR</w:t>
            </w:r>
          </w:p>
        </w:tc>
      </w:tr>
    </w:tbl>
    <w:p>
      <w:pPr>
        <w:spacing w:after="0" w:before="120"/>
      </w:pPr>
      <w:r>
        <w:t xml:space="preserve"/>
      </w:r>
    </w:p>
    <w:p>
      <w:pPr>
        <w:pStyle w:val="Heading2"/>
        <w:spacing w:after="160" w:before="360"/>
      </w:pPr>
      <w:r>
        <w:rPr>
          <w:rFonts w:ascii="Arial" w:cs="Arial" w:eastAsia="Arial" w:hAnsi="Arial"/>
          <w:b/>
          <w:bCs/>
          <w:color w:val="0A0F1E"/>
          <w:sz w:val="30"/>
          <w:szCs w:val="30"/>
        </w:rPr>
        <w:t xml:space="preserve">Unit Economics</w:t>
      </w:r>
    </w:p>
    <w:p>
      <w:pPr>
        <w:pStyle w:val="ListParagraph"/>
        <w:numPr>
          <w:ilvl w:val="0"/>
          <w:numId w:val="2"/>
        </w:numPr>
        <w:spacing w:after="60" w:before="60"/>
      </w:pPr>
      <w:r>
        <w:rPr>
          <w:rFonts w:ascii="Arial" w:cs="Arial" w:eastAsia="Arial" w:hAnsi="Arial"/>
          <w:color w:val="1A202C"/>
          <w:sz w:val="22"/>
          <w:szCs w:val="22"/>
        </w:rPr>
        <w:t xml:space="preserve">Consumer Pro: $49/mo · CAC target $35 · LTV target $294 (6x LTV:CAC)</w:t>
      </w:r>
    </w:p>
    <w:p>
      <w:pPr>
        <w:pStyle w:val="ListParagraph"/>
        <w:numPr>
          <w:ilvl w:val="0"/>
          <w:numId w:val="2"/>
        </w:numPr>
        <w:spacing w:after="60" w:before="60"/>
      </w:pPr>
      <w:r>
        <w:rPr>
          <w:rFonts w:ascii="Arial" w:cs="Arial" w:eastAsia="Arial" w:hAnsi="Arial"/>
          <w:color w:val="1A202C"/>
          <w:sz w:val="22"/>
          <w:szCs w:val="22"/>
        </w:rPr>
        <w:t xml:space="preserve">Enterprise: $2,499/mo · CAC target $3,500 · LTV target $60,000 (17x LTV:CAC)</w:t>
      </w:r>
    </w:p>
    <w:p>
      <w:pPr>
        <w:pStyle w:val="ListParagraph"/>
        <w:numPr>
          <w:ilvl w:val="0"/>
          <w:numId w:val="2"/>
        </w:numPr>
        <w:spacing w:after="60" w:before="60"/>
      </w:pPr>
      <w:r>
        <w:rPr>
          <w:rFonts w:ascii="Arial" w:cs="Arial" w:eastAsia="Arial" w:hAnsi="Arial"/>
          <w:color w:val="1A202C"/>
          <w:sz w:val="22"/>
          <w:szCs w:val="22"/>
        </w:rPr>
        <w:t xml:space="preserve">Marketplace: 0% marginal cost per transaction after infrastructure fixed costs</w:t>
      </w:r>
    </w:p>
    <w:p>
      <w:pPr>
        <w:pStyle w:val="ListParagraph"/>
        <w:numPr>
          <w:ilvl w:val="0"/>
          <w:numId w:val="2"/>
        </w:numPr>
        <w:spacing w:after="60" w:before="60"/>
      </w:pPr>
      <w:r>
        <w:rPr>
          <w:rFonts w:ascii="Arial" w:cs="Arial" w:eastAsia="Arial" w:hAnsi="Arial"/>
          <w:color w:val="1A202C"/>
          <w:sz w:val="22"/>
          <w:szCs w:val="22"/>
        </w:rPr>
        <w:t xml:space="preserve">Affiliate: 0% inventory risk, 95%+ margin, compounds with content authority</w:t>
      </w:r>
    </w:p>
    <w:p>
      <w:pPr>
        <w:spacing w:after="0" w:before="120"/>
      </w:pPr>
      <w:r>
        <w:t xml:space="preserve"/>
      </w:r>
    </w:p>
    <w:p>
      <w:pPr>
        <w:pStyle w:val="Heading2"/>
        <w:spacing w:after="160" w:before="360"/>
      </w:pPr>
      <w:r>
        <w:rPr>
          <w:rFonts w:ascii="Arial" w:cs="Arial" w:eastAsia="Arial" w:hAnsi="Arial"/>
          <w:b/>
          <w:bCs/>
          <w:color w:val="0A0F1E"/>
          <w:sz w:val="30"/>
          <w:szCs w:val="30"/>
        </w:rPr>
        <w:t xml:space="preserve">Path to $10M MRR — Month-by-Month Revenue Model</w:t>
      </w:r>
    </w:p>
    <w:p>
      <w:pPr>
        <w:spacing w:after="80" w:before="80"/>
      </w:pPr>
      <w:r>
        <w:rPr>
          <w:rFonts w:ascii="Arial" w:cs="Arial" w:eastAsia="Arial" w:hAnsi="Arial"/>
          <w:color w:val="1A202C"/>
          <w:sz w:val="22"/>
          <w:szCs w:val="22"/>
        </w:rPr>
        <w:t xml:space="preserve">Key assumptions: 3% month-over-month organic traffic growth, 2.5% affiliate conversion, 0.8% Pro conversion of registered users, $850 average marketplace order value.</w:t>
      </w:r>
    </w:p>
    <w:p>
      <w:pPr>
        <w:pStyle w:val="ListParagraph"/>
        <w:numPr>
          <w:ilvl w:val="0"/>
          <w:numId w:val="2"/>
        </w:numPr>
        <w:spacing w:after="60" w:before="60"/>
      </w:pPr>
      <w:r>
        <w:rPr>
          <w:rFonts w:ascii="Arial" w:cs="Arial" w:eastAsia="Arial" w:hAnsi="Arial"/>
          <w:color w:val="1A202C"/>
          <w:sz w:val="22"/>
          <w:szCs w:val="22"/>
        </w:rPr>
        <w:t xml:space="preserve">Months 1-3: $0 — Building. No premature monetization. Focus on content, reviews, database.</w:t>
      </w:r>
    </w:p>
    <w:p>
      <w:pPr>
        <w:pStyle w:val="ListParagraph"/>
        <w:numPr>
          <w:ilvl w:val="0"/>
          <w:numId w:val="2"/>
        </w:numPr>
        <w:spacing w:after="60" w:before="60"/>
      </w:pPr>
      <w:r>
        <w:rPr>
          <w:rFonts w:ascii="Arial" w:cs="Arial" w:eastAsia="Arial" w:hAnsi="Arial"/>
          <w:color w:val="1A202C"/>
          <w:sz w:val="22"/>
          <w:szCs w:val="22"/>
        </w:rPr>
        <w:t xml:space="preserve">Months 4-6: $8K-$45K MRR — Affiliate commerce + early Pro waitlist. 100K monthly visitors.</w:t>
      </w:r>
    </w:p>
    <w:p>
      <w:pPr>
        <w:pStyle w:val="ListParagraph"/>
        <w:numPr>
          <w:ilvl w:val="0"/>
          <w:numId w:val="2"/>
        </w:numPr>
        <w:spacing w:after="60" w:before="60"/>
      </w:pPr>
      <w:r>
        <w:rPr>
          <w:rFonts w:ascii="Arial" w:cs="Arial" w:eastAsia="Arial" w:hAnsi="Arial"/>
          <w:color w:val="1A202C"/>
          <w:sz w:val="22"/>
          <w:szCs w:val="22"/>
        </w:rPr>
        <w:t xml:space="preserve">Months 7-9: $45K-$150K MRR — Marketplace launch, Pro launch. 300K monthly visitors.</w:t>
      </w:r>
    </w:p>
    <w:p>
      <w:pPr>
        <w:pStyle w:val="ListParagraph"/>
        <w:numPr>
          <w:ilvl w:val="0"/>
          <w:numId w:val="2"/>
        </w:numPr>
        <w:spacing w:after="60" w:before="60"/>
      </w:pPr>
      <w:r>
        <w:rPr>
          <w:rFonts w:ascii="Arial" w:cs="Arial" w:eastAsia="Arial" w:hAnsi="Arial"/>
          <w:color w:val="1A202C"/>
          <w:sz w:val="22"/>
          <w:szCs w:val="22"/>
        </w:rPr>
        <w:t xml:space="preserve">Months 10-12: $150K-$400K MRR — GMV ramp, enterprise pilots, first market reports.</w:t>
      </w:r>
    </w:p>
    <w:p>
      <w:pPr>
        <w:pStyle w:val="ListParagraph"/>
        <w:numPr>
          <w:ilvl w:val="0"/>
          <w:numId w:val="2"/>
        </w:numPr>
        <w:spacing w:after="60" w:before="60"/>
      </w:pPr>
      <w:r>
        <w:rPr>
          <w:rFonts w:ascii="Arial" w:cs="Arial" w:eastAsia="Arial" w:hAnsi="Arial"/>
          <w:color w:val="1A202C"/>
          <w:sz w:val="22"/>
          <w:szCs w:val="22"/>
        </w:rPr>
        <w:t xml:space="preserve">Year 2 (Months 13-24): $400K-$2.5M MRR — Enterprise SaaS, white-label, international.</w:t>
      </w:r>
    </w:p>
    <w:p>
      <w:pPr>
        <w:pStyle w:val="ListParagraph"/>
        <w:numPr>
          <w:ilvl w:val="0"/>
          <w:numId w:val="2"/>
        </w:numPr>
        <w:spacing w:after="60" w:before="60"/>
      </w:pPr>
      <w:r>
        <w:rPr>
          <w:rFonts w:ascii="Arial" w:cs="Arial" w:eastAsia="Arial" w:hAnsi="Arial"/>
          <w:color w:val="1A202C"/>
          <w:sz w:val="22"/>
          <w:szCs w:val="22"/>
        </w:rPr>
        <w:t xml:space="preserve">Year 3 (Months 25-36): $2.5M-$10M MRR — Full platform maturity, data moat established.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0A0F1E" w:val="clear"/>
            <w:tcMar>
              <w:top w:type="dxa" w:w="120"/>
              <w:left w:type="dxa" w:w="160"/>
              <w:bottom w:type="dxa" w:w="120"/>
              <w:right w:type="dxa" w:w="160"/>
            </w:tcMar>
            <w:vAlign w:val="center"/>
          </w:tcPr>
          <w:p>
            <w:pPr>
              <w:jc w:val="center"/>
            </w:pPr>
            <w:r>
              <w:rPr>
                <w:rFonts w:ascii="Arial" w:cs="Arial" w:eastAsia="Arial" w:hAnsi="Arial"/>
                <w:b/>
                <w:bCs/>
                <w:color w:val="00C2FF"/>
                <w:sz w:val="28"/>
                <w:szCs w:val="28"/>
              </w:rPr>
              <w:t xml:space="preserve">09</w:t>
            </w:r>
          </w:p>
        </w:tc>
        <w:tc>
          <w:tcPr>
            <w:tcW w:type="dxa" w:w="8560"/>
            <w:tcBorders>
              <w:top w:val="none" w:color="FFFFFF" w:sz="0"/>
              <w:left w:val="none" w:color="FFFFFF" w:sz="0"/>
              <w:bottom w:val="none" w:color="FFFFFF" w:sz="0"/>
              <w:right w:val="none" w:color="FFFFFF" w:sz="0"/>
            </w:tcBorders>
            <w:shd w:fill="F4F6FB" w:val="clear"/>
            <w:tcMar>
              <w:top w:type="dxa" w:w="120"/>
              <w:left w:type="dxa" w:w="200"/>
              <w:bottom w:type="dxa" w:w="120"/>
              <w:right w:type="dxa" w:w="160"/>
            </w:tcMar>
            <w:vAlign w:val="center"/>
          </w:tcPr>
          <w:p>
            <w:r>
              <w:rPr>
                <w:rFonts w:ascii="Arial" w:cs="Arial" w:eastAsia="Arial" w:hAnsi="Arial"/>
                <w:b/>
                <w:bCs/>
                <w:color w:val="0A0F1E"/>
                <w:spacing w:val="40"/>
                <w:sz w:val="28"/>
                <w:szCs w:val="28"/>
              </w:rPr>
              <w:t xml:space="preserve">TEAM, ORG DESIGN &amp; EXECUTION PLAN</w:t>
            </w:r>
          </w:p>
        </w:tc>
      </w:tr>
    </w:tbl>
    <w:p>
      <w:pPr>
        <w:spacing w:after="0" w:before="120"/>
      </w:pPr>
      <w:r>
        <w:t xml:space="preserve"/>
      </w:r>
    </w:p>
    <w:p>
      <w:pPr>
        <w:pStyle w:val="Heading2"/>
        <w:spacing w:after="160" w:before="360"/>
      </w:pPr>
      <w:r>
        <w:rPr>
          <w:rFonts w:ascii="Arial" w:cs="Arial" w:eastAsia="Arial" w:hAnsi="Arial"/>
          <w:b/>
          <w:bCs/>
          <w:color w:val="0A0F1E"/>
          <w:sz w:val="30"/>
          <w:szCs w:val="30"/>
        </w:rPr>
        <w:t xml:space="preserve">Founding Team Requirements</w:t>
      </w:r>
    </w:p>
    <w:p>
      <w:pPr>
        <w:spacing w:after="80" w:before="80"/>
      </w:pPr>
      <w:r>
        <w:rPr>
          <w:rFonts w:ascii="Arial" w:cs="Arial" w:eastAsia="Arial" w:hAnsi="Arial"/>
          <w:color w:val="1A202C"/>
          <w:sz w:val="22"/>
          <w:szCs w:val="22"/>
        </w:rPr>
        <w:t xml:space="preserve">This company requires a founding team that can simultaneously execute at the intersection of media, commerce, AI, and hardware ecosystems. The ideal founding team:</w:t>
      </w:r>
    </w:p>
    <w:p>
      <w:pPr>
        <w:pStyle w:val="ListParagraph"/>
        <w:numPr>
          <w:ilvl w:val="0"/>
          <w:numId w:val="2"/>
        </w:numPr>
        <w:spacing w:after="60" w:before="60"/>
      </w:pPr>
      <w:r>
        <w:rPr>
          <w:rFonts w:ascii="Arial" w:cs="Arial" w:eastAsia="Arial" w:hAnsi="Arial"/>
          <w:color w:val="1A202C"/>
          <w:sz w:val="22"/>
          <w:szCs w:val="22"/>
        </w:rPr>
        <w:t xml:space="preserve">CEO/Product — Product vision, AI strategy, fundraising, partnerships. Ex: FAANG PM or robotics founder.</w:t>
      </w:r>
    </w:p>
    <w:p>
      <w:pPr>
        <w:pStyle w:val="ListParagraph"/>
        <w:numPr>
          <w:ilvl w:val="0"/>
          <w:numId w:val="2"/>
        </w:numPr>
        <w:spacing w:after="60" w:before="60"/>
      </w:pPr>
      <w:r>
        <w:rPr>
          <w:rFonts w:ascii="Arial" w:cs="Arial" w:eastAsia="Arial" w:hAnsi="Arial"/>
          <w:color w:val="1A202C"/>
          <w:sz w:val="22"/>
          <w:szCs w:val="22"/>
        </w:rPr>
        <w:t xml:space="preserve">CTO — Full-stack, AI/ML, data infrastructure. Can architect and build v1 solo or with 1 engineer.</w:t>
      </w:r>
    </w:p>
    <w:p>
      <w:pPr>
        <w:pStyle w:val="ListParagraph"/>
        <w:numPr>
          <w:ilvl w:val="0"/>
          <w:numId w:val="2"/>
        </w:numPr>
        <w:spacing w:after="60" w:before="60"/>
      </w:pPr>
      <w:r>
        <w:rPr>
          <w:rFonts w:ascii="Arial" w:cs="Arial" w:eastAsia="Arial" w:hAnsi="Arial"/>
          <w:color w:val="1A202C"/>
          <w:sz w:val="22"/>
          <w:szCs w:val="22"/>
        </w:rPr>
        <w:t xml:space="preserve">Head of Content/Editorial — Ex-Wirecutter, The Verge, or major tech publication. SEO expert + writer.</w:t>
      </w:r>
    </w:p>
    <w:p>
      <w:pPr>
        <w:pStyle w:val="ListParagraph"/>
        <w:numPr>
          <w:ilvl w:val="0"/>
          <w:numId w:val="2"/>
        </w:numPr>
        <w:spacing w:after="60" w:before="60"/>
      </w:pPr>
      <w:r>
        <w:rPr>
          <w:rFonts w:ascii="Arial" w:cs="Arial" w:eastAsia="Arial" w:hAnsi="Arial"/>
          <w:color w:val="1A202C"/>
          <w:sz w:val="22"/>
          <w:szCs w:val="22"/>
        </w:rPr>
        <w:t xml:space="preserve">Head of Commerce/Partnerships — Marketplace and affiliate experience. Ex: Amazon, eBay, Reverb.</w:t>
      </w:r>
    </w:p>
    <w:p>
      <w:pPr>
        <w:spacing w:after="0" w:before="120"/>
      </w:pPr>
      <w:r>
        <w:t xml:space="preserve"/>
      </w:r>
    </w:p>
    <w:p>
      <w:pPr>
        <w:pStyle w:val="Heading2"/>
        <w:spacing w:after="160" w:before="360"/>
      </w:pPr>
      <w:r>
        <w:rPr>
          <w:rFonts w:ascii="Arial" w:cs="Arial" w:eastAsia="Arial" w:hAnsi="Arial"/>
          <w:b/>
          <w:bCs/>
          <w:color w:val="0A0F1E"/>
          <w:sz w:val="30"/>
          <w:szCs w:val="30"/>
        </w:rPr>
        <w:t xml:space="preserve">Hiring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980"/>
        <w:gridCol w:w="1980"/>
      </w:tblGrid>
      <w:tr>
        <w:trPr>
          <w:tblHeader/>
        </w:trPr>
        <w:tc>
          <w:tcPr>
            <w:tcW w:type="dxa" w:w="2200"/>
            <w:tcBorders>
              <w:top w:val="single" w:color="E2E8F0" w:sz="1"/>
              <w:left w:val="single" w:color="E2E8F0" w:sz="1"/>
              <w:bottom w:val="single" w:color="E2E8F0" w:sz="1"/>
              <w:right w:val="single" w:color="E2E8F0" w:sz="1"/>
            </w:tcBorders>
            <w:shd w:fill="0A0F1E" w:val="clear"/>
            <w:tcMar>
              <w:top w:type="dxa" w:w="80"/>
              <w:left w:type="dxa" w:w="120"/>
              <w:bottom w:type="dxa" w:w="80"/>
              <w:right w:type="dxa" w:w="80"/>
            </w:tcMar>
          </w:tcPr>
          <w:p>
            <w:r>
              <w:rPr>
                <w:rFonts w:ascii="Arial" w:cs="Arial" w:eastAsia="Arial" w:hAnsi="Arial"/>
                <w:b/>
                <w:bCs/>
                <w:color w:val="FFFFFF"/>
                <w:sz w:val="20"/>
                <w:szCs w:val="20"/>
              </w:rPr>
              <w:t xml:space="preserve">Role</w:t>
            </w:r>
          </w:p>
        </w:tc>
        <w:tc>
          <w:tcPr>
            <w:tcW w:type="dxa" w:w="3200"/>
            <w:tcBorders>
              <w:top w:val="single" w:color="E2E8F0" w:sz="1"/>
              <w:left w:val="single" w:color="E2E8F0" w:sz="1"/>
              <w:bottom w:val="single" w:color="E2E8F0" w:sz="1"/>
              <w:right w:val="single" w:color="E2E8F0" w:sz="1"/>
            </w:tcBorders>
            <w:shd w:fill="0A0F1E" w:val="clear"/>
            <w:tcMar>
              <w:top w:type="dxa" w:w="80"/>
              <w:left w:type="dxa" w:w="120"/>
              <w:bottom w:type="dxa" w:w="80"/>
              <w:right w:type="dxa" w:w="80"/>
            </w:tcMar>
          </w:tcPr>
          <w:p>
            <w:r>
              <w:rPr>
                <w:rFonts w:ascii="Arial" w:cs="Arial" w:eastAsia="Arial" w:hAnsi="Arial"/>
                <w:b/>
                <w:bCs/>
                <w:color w:val="FFFFFF"/>
                <w:sz w:val="20"/>
                <w:szCs w:val="20"/>
              </w:rPr>
              <w:t xml:space="preserve">Focus</w:t>
            </w:r>
          </w:p>
        </w:tc>
        <w:tc>
          <w:tcPr>
            <w:tcW w:type="dxa" w:w="1980"/>
            <w:tcBorders>
              <w:top w:val="single" w:color="E2E8F0" w:sz="1"/>
              <w:left w:val="single" w:color="E2E8F0" w:sz="1"/>
              <w:bottom w:val="single" w:color="E2E8F0" w:sz="1"/>
              <w:right w:val="single" w:color="E2E8F0" w:sz="1"/>
            </w:tcBorders>
            <w:shd w:fill="0A0F1E" w:val="clear"/>
            <w:tcMar>
              <w:top w:type="dxa" w:w="80"/>
              <w:left w:type="dxa" w:w="120"/>
              <w:bottom w:type="dxa" w:w="80"/>
              <w:right w:type="dxa" w:w="80"/>
            </w:tcMar>
          </w:tcPr>
          <w:p>
            <w:r>
              <w:rPr>
                <w:rFonts w:ascii="Arial" w:cs="Arial" w:eastAsia="Arial" w:hAnsi="Arial"/>
                <w:b/>
                <w:bCs/>
                <w:color w:val="FFFFFF"/>
                <w:sz w:val="20"/>
                <w:szCs w:val="20"/>
              </w:rPr>
              <w:t xml:space="preserve">Phase</w:t>
            </w:r>
          </w:p>
        </w:tc>
        <w:tc>
          <w:tcPr>
            <w:tcW w:type="dxa" w:w="1980"/>
            <w:tcBorders>
              <w:top w:val="single" w:color="E2E8F0" w:sz="1"/>
              <w:left w:val="single" w:color="E2E8F0" w:sz="1"/>
              <w:bottom w:val="single" w:color="E2E8F0" w:sz="1"/>
              <w:right w:val="single" w:color="E2E8F0" w:sz="1"/>
            </w:tcBorders>
            <w:shd w:fill="0A0F1E" w:val="clear"/>
            <w:tcMar>
              <w:top w:type="dxa" w:w="80"/>
              <w:left w:type="dxa" w:w="120"/>
              <w:bottom w:type="dxa" w:w="80"/>
              <w:right w:type="dxa" w:w="80"/>
            </w:tcMar>
          </w:tcPr>
          <w:p>
            <w:r>
              <w:rPr>
                <w:rFonts w:ascii="Arial" w:cs="Arial" w:eastAsia="Arial" w:hAnsi="Arial"/>
                <w:b/>
                <w:bCs/>
                <w:color w:val="FFFFFF"/>
                <w:sz w:val="20"/>
                <w:szCs w:val="20"/>
              </w:rPr>
              <w:t xml:space="preserve">Comp Range</w:t>
            </w:r>
          </w:p>
        </w:tc>
      </w:tr>
      <w:tr>
        <w:tc>
          <w:tcPr>
            <w:tcW w:type="dxa" w:w="2200"/>
            <w:tcBorders>
              <w:top w:val="single" w:color="E2E8F0" w:sz="1"/>
              <w:left w:val="single" w:color="E2E8F0" w:sz="1"/>
              <w:bottom w:val="single" w:color="E2E8F0" w:sz="1"/>
              <w:right w:val="single" w:color="E2E8F0" w:sz="1"/>
            </w:tcBorders>
            <w:shd w:fill="F4F6FB" w:val="clear"/>
            <w:tcMar>
              <w:top w:type="dxa" w:w="80"/>
              <w:left w:type="dxa" w:w="120"/>
              <w:bottom w:type="dxa" w:w="80"/>
              <w:right w:type="dxa" w:w="80"/>
            </w:tcMar>
          </w:tcPr>
          <w:p>
            <w:r>
              <w:rPr>
                <w:rFonts w:ascii="Arial" w:cs="Arial" w:eastAsia="Arial" w:hAnsi="Arial"/>
                <w:b/>
                <w:bCs/>
                <w:color w:val="1A202C"/>
                <w:sz w:val="19"/>
                <w:szCs w:val="19"/>
              </w:rPr>
              <w:t xml:space="preserve">Sr. Full-Stack Engineer</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19"/>
                <w:szCs w:val="19"/>
              </w:rPr>
              <w:t xml:space="preserve">Marketplace + advisor UI</w:t>
            </w:r>
          </w:p>
        </w:tc>
        <w:tc>
          <w:tcPr>
            <w:tcW w:type="dxa" w:w="1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19"/>
                <w:szCs w:val="19"/>
              </w:rPr>
              <w:t xml:space="preserve">Phase 1</w:t>
            </w:r>
          </w:p>
        </w:tc>
        <w:tc>
          <w:tcPr>
            <w:tcW w:type="dxa" w:w="1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19"/>
                <w:szCs w:val="19"/>
              </w:rPr>
              <w:t xml:space="preserve">$160-220K + equity</w:t>
            </w:r>
          </w:p>
        </w:tc>
      </w:tr>
      <w:tr>
        <w:tc>
          <w:tcPr>
            <w:tcW w:type="dxa" w:w="2200"/>
            <w:tcBorders>
              <w:top w:val="single" w:color="E2E8F0" w:sz="1"/>
              <w:left w:val="single" w:color="E2E8F0" w:sz="1"/>
              <w:bottom w:val="single" w:color="E2E8F0" w:sz="1"/>
              <w:right w:val="single" w:color="E2E8F0" w:sz="1"/>
            </w:tcBorders>
            <w:shd w:fill="F4F6FB" w:val="clear"/>
            <w:tcMar>
              <w:top w:type="dxa" w:w="80"/>
              <w:left w:type="dxa" w:w="120"/>
              <w:bottom w:type="dxa" w:w="80"/>
              <w:right w:type="dxa" w:w="80"/>
            </w:tcMar>
          </w:tcPr>
          <w:p>
            <w:r>
              <w:rPr>
                <w:rFonts w:ascii="Arial" w:cs="Arial" w:eastAsia="Arial" w:hAnsi="Arial"/>
                <w:b/>
                <w:bCs/>
                <w:color w:val="1A202C"/>
                <w:sz w:val="19"/>
                <w:szCs w:val="19"/>
              </w:rPr>
              <w:t xml:space="preserve">Data Engineer</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19"/>
                <w:szCs w:val="19"/>
              </w:rPr>
              <w:t xml:space="preserve">Scraping, ETL, product DB</w:t>
            </w:r>
          </w:p>
        </w:tc>
        <w:tc>
          <w:tcPr>
            <w:tcW w:type="dxa" w:w="1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19"/>
                <w:szCs w:val="19"/>
              </w:rPr>
              <w:t xml:space="preserve">Phase 1</w:t>
            </w:r>
          </w:p>
        </w:tc>
        <w:tc>
          <w:tcPr>
            <w:tcW w:type="dxa" w:w="1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19"/>
                <w:szCs w:val="19"/>
              </w:rPr>
              <w:t xml:space="preserve">$150-200K + equity</w:t>
            </w:r>
          </w:p>
        </w:tc>
      </w:tr>
      <w:tr>
        <w:tc>
          <w:tcPr>
            <w:tcW w:type="dxa" w:w="2200"/>
            <w:tcBorders>
              <w:top w:val="single" w:color="E2E8F0" w:sz="1"/>
              <w:left w:val="single" w:color="E2E8F0" w:sz="1"/>
              <w:bottom w:val="single" w:color="E2E8F0" w:sz="1"/>
              <w:right w:val="single" w:color="E2E8F0" w:sz="1"/>
            </w:tcBorders>
            <w:shd w:fill="F4F6FB" w:val="clear"/>
            <w:tcMar>
              <w:top w:type="dxa" w:w="80"/>
              <w:left w:type="dxa" w:w="120"/>
              <w:bottom w:type="dxa" w:w="80"/>
              <w:right w:type="dxa" w:w="80"/>
            </w:tcMar>
          </w:tcPr>
          <w:p>
            <w:r>
              <w:rPr>
                <w:rFonts w:ascii="Arial" w:cs="Arial" w:eastAsia="Arial" w:hAnsi="Arial"/>
                <w:b/>
                <w:bCs/>
                <w:color w:val="1A202C"/>
                <w:sz w:val="19"/>
                <w:szCs w:val="19"/>
              </w:rPr>
              <w:t xml:space="preserve">Robotics Review Editor</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19"/>
                <w:szCs w:val="19"/>
              </w:rPr>
              <w:t xml:space="preserve">Expert reviews, test protocols</w:t>
            </w:r>
          </w:p>
        </w:tc>
        <w:tc>
          <w:tcPr>
            <w:tcW w:type="dxa" w:w="1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19"/>
                <w:szCs w:val="19"/>
              </w:rPr>
              <w:t xml:space="preserve">Phase 1</w:t>
            </w:r>
          </w:p>
        </w:tc>
        <w:tc>
          <w:tcPr>
            <w:tcW w:type="dxa" w:w="1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19"/>
                <w:szCs w:val="19"/>
              </w:rPr>
              <w:t xml:space="preserve">$90-130K + equity</w:t>
            </w:r>
          </w:p>
        </w:tc>
      </w:tr>
      <w:tr>
        <w:tc>
          <w:tcPr>
            <w:tcW w:type="dxa" w:w="2200"/>
            <w:tcBorders>
              <w:top w:val="single" w:color="E2E8F0" w:sz="1"/>
              <w:left w:val="single" w:color="E2E8F0" w:sz="1"/>
              <w:bottom w:val="single" w:color="E2E8F0" w:sz="1"/>
              <w:right w:val="single" w:color="E2E8F0" w:sz="1"/>
            </w:tcBorders>
            <w:shd w:fill="F4F6FB" w:val="clear"/>
            <w:tcMar>
              <w:top w:type="dxa" w:w="80"/>
              <w:left w:type="dxa" w:w="120"/>
              <w:bottom w:type="dxa" w:w="80"/>
              <w:right w:type="dxa" w:w="80"/>
            </w:tcMar>
          </w:tcPr>
          <w:p>
            <w:r>
              <w:rPr>
                <w:rFonts w:ascii="Arial" w:cs="Arial" w:eastAsia="Arial" w:hAnsi="Arial"/>
                <w:b/>
                <w:bCs/>
                <w:color w:val="1A202C"/>
                <w:sz w:val="19"/>
                <w:szCs w:val="19"/>
              </w:rPr>
              <w:t xml:space="preserve">Growth/SEO Lead</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19"/>
                <w:szCs w:val="19"/>
              </w:rPr>
              <w:t xml:space="preserve">Organic traffic, content ops</w:t>
            </w:r>
          </w:p>
        </w:tc>
        <w:tc>
          <w:tcPr>
            <w:tcW w:type="dxa" w:w="1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19"/>
                <w:szCs w:val="19"/>
              </w:rPr>
              <w:t xml:space="preserve">Phase 1</w:t>
            </w:r>
          </w:p>
        </w:tc>
        <w:tc>
          <w:tcPr>
            <w:tcW w:type="dxa" w:w="1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19"/>
                <w:szCs w:val="19"/>
              </w:rPr>
              <w:t xml:space="preserve">$100-140K + equity</w:t>
            </w:r>
          </w:p>
        </w:tc>
      </w:tr>
      <w:tr>
        <w:tc>
          <w:tcPr>
            <w:tcW w:type="dxa" w:w="2200"/>
            <w:tcBorders>
              <w:top w:val="single" w:color="E2E8F0" w:sz="1"/>
              <w:left w:val="single" w:color="E2E8F0" w:sz="1"/>
              <w:bottom w:val="single" w:color="E2E8F0" w:sz="1"/>
              <w:right w:val="single" w:color="E2E8F0" w:sz="1"/>
            </w:tcBorders>
            <w:shd w:fill="F4F6FB" w:val="clear"/>
            <w:tcMar>
              <w:top w:type="dxa" w:w="80"/>
              <w:left w:type="dxa" w:w="120"/>
              <w:bottom w:type="dxa" w:w="80"/>
              <w:right w:type="dxa" w:w="80"/>
            </w:tcMar>
          </w:tcPr>
          <w:p>
            <w:r>
              <w:rPr>
                <w:rFonts w:ascii="Arial" w:cs="Arial" w:eastAsia="Arial" w:hAnsi="Arial"/>
                <w:b/>
                <w:bCs/>
                <w:color w:val="1A202C"/>
                <w:sz w:val="19"/>
                <w:szCs w:val="19"/>
              </w:rPr>
              <w:t xml:space="preserve">Sr. ML Engineer</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19"/>
                <w:szCs w:val="19"/>
              </w:rPr>
              <w:t xml:space="preserve">Fine-tuning, recommendations</w:t>
            </w:r>
          </w:p>
        </w:tc>
        <w:tc>
          <w:tcPr>
            <w:tcW w:type="dxa" w:w="1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19"/>
                <w:szCs w:val="19"/>
              </w:rPr>
              <w:t xml:space="preserve">Phase 2</w:t>
            </w:r>
          </w:p>
        </w:tc>
        <w:tc>
          <w:tcPr>
            <w:tcW w:type="dxa" w:w="1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19"/>
                <w:szCs w:val="19"/>
              </w:rPr>
              <w:t xml:space="preserve">$180-240K + equity</w:t>
            </w:r>
          </w:p>
        </w:tc>
      </w:tr>
      <w:tr>
        <w:tc>
          <w:tcPr>
            <w:tcW w:type="dxa" w:w="2200"/>
            <w:tcBorders>
              <w:top w:val="single" w:color="E2E8F0" w:sz="1"/>
              <w:left w:val="single" w:color="E2E8F0" w:sz="1"/>
              <w:bottom w:val="single" w:color="E2E8F0" w:sz="1"/>
              <w:right w:val="single" w:color="E2E8F0" w:sz="1"/>
            </w:tcBorders>
            <w:shd w:fill="F4F6FB" w:val="clear"/>
            <w:tcMar>
              <w:top w:type="dxa" w:w="80"/>
              <w:left w:type="dxa" w:w="120"/>
              <w:bottom w:type="dxa" w:w="80"/>
              <w:right w:type="dxa" w:w="80"/>
            </w:tcMar>
          </w:tcPr>
          <w:p>
            <w:r>
              <w:rPr>
                <w:rFonts w:ascii="Arial" w:cs="Arial" w:eastAsia="Arial" w:hAnsi="Arial"/>
                <w:b/>
                <w:bCs/>
                <w:color w:val="1A202C"/>
                <w:sz w:val="19"/>
                <w:szCs w:val="19"/>
              </w:rPr>
              <w:t xml:space="preserve">Enterprise Sales Rep</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19"/>
                <w:szCs w:val="19"/>
              </w:rPr>
              <w:t xml:space="preserve">B2B outbound and closings</w:t>
            </w:r>
          </w:p>
        </w:tc>
        <w:tc>
          <w:tcPr>
            <w:tcW w:type="dxa" w:w="1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19"/>
                <w:szCs w:val="19"/>
              </w:rPr>
              <w:t xml:space="preserve">Phase 2</w:t>
            </w:r>
          </w:p>
        </w:tc>
        <w:tc>
          <w:tcPr>
            <w:tcW w:type="dxa" w:w="1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19"/>
                <w:szCs w:val="19"/>
              </w:rPr>
              <w:t xml:space="preserve">$120K base + OTE $250K</w:t>
            </w:r>
          </w:p>
        </w:tc>
      </w:tr>
      <w:tr>
        <w:tc>
          <w:tcPr>
            <w:tcW w:type="dxa" w:w="2200"/>
            <w:tcBorders>
              <w:top w:val="single" w:color="E2E8F0" w:sz="1"/>
              <w:left w:val="single" w:color="E2E8F0" w:sz="1"/>
              <w:bottom w:val="single" w:color="E2E8F0" w:sz="1"/>
              <w:right w:val="single" w:color="E2E8F0" w:sz="1"/>
            </w:tcBorders>
            <w:shd w:fill="F4F6FB" w:val="clear"/>
            <w:tcMar>
              <w:top w:type="dxa" w:w="80"/>
              <w:left w:type="dxa" w:w="120"/>
              <w:bottom w:type="dxa" w:w="80"/>
              <w:right w:type="dxa" w:w="80"/>
            </w:tcMar>
          </w:tcPr>
          <w:p>
            <w:r>
              <w:rPr>
                <w:rFonts w:ascii="Arial" w:cs="Arial" w:eastAsia="Arial" w:hAnsi="Arial"/>
                <w:b/>
                <w:bCs/>
                <w:color w:val="1A202C"/>
                <w:sz w:val="19"/>
                <w:szCs w:val="19"/>
              </w:rPr>
              <w:t xml:space="preserve">Community Manager</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19"/>
                <w:szCs w:val="19"/>
              </w:rPr>
              <w:t xml:space="preserve">Forum, creator program</w:t>
            </w:r>
          </w:p>
        </w:tc>
        <w:tc>
          <w:tcPr>
            <w:tcW w:type="dxa" w:w="1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19"/>
                <w:szCs w:val="19"/>
              </w:rPr>
              <w:t xml:space="preserve">Phase 2</w:t>
            </w:r>
          </w:p>
        </w:tc>
        <w:tc>
          <w:tcPr>
            <w:tcW w:type="dxa" w:w="1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19"/>
                <w:szCs w:val="19"/>
              </w:rPr>
              <w:t xml:space="preserve">$75-100K + equity</w:t>
            </w:r>
          </w:p>
        </w:tc>
      </w:tr>
      <w:tr>
        <w:tc>
          <w:tcPr>
            <w:tcW w:type="dxa" w:w="2200"/>
            <w:tcBorders>
              <w:top w:val="single" w:color="E2E8F0" w:sz="1"/>
              <w:left w:val="single" w:color="E2E8F0" w:sz="1"/>
              <w:bottom w:val="single" w:color="E2E8F0" w:sz="1"/>
              <w:right w:val="single" w:color="E2E8F0" w:sz="1"/>
            </w:tcBorders>
            <w:shd w:fill="F4F6FB" w:val="clear"/>
            <w:tcMar>
              <w:top w:type="dxa" w:w="80"/>
              <w:left w:type="dxa" w:w="120"/>
              <w:bottom w:type="dxa" w:w="80"/>
              <w:right w:type="dxa" w:w="80"/>
            </w:tcMar>
          </w:tcPr>
          <w:p>
            <w:r>
              <w:rPr>
                <w:rFonts w:ascii="Arial" w:cs="Arial" w:eastAsia="Arial" w:hAnsi="Arial"/>
                <w:b/>
                <w:bCs/>
                <w:color w:val="1A202C"/>
                <w:sz w:val="19"/>
                <w:szCs w:val="19"/>
              </w:rPr>
              <w:t xml:space="preserve">VP Engineering</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19"/>
                <w:szCs w:val="19"/>
              </w:rPr>
              <w:t xml:space="preserve">Eng org, hiring, architecture</w:t>
            </w:r>
          </w:p>
        </w:tc>
        <w:tc>
          <w:tcPr>
            <w:tcW w:type="dxa" w:w="1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19"/>
                <w:szCs w:val="19"/>
              </w:rPr>
              <w:t xml:space="preserve">Phase 3</w:t>
            </w:r>
          </w:p>
        </w:tc>
        <w:tc>
          <w:tcPr>
            <w:tcW w:type="dxa" w:w="19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19"/>
                <w:szCs w:val="19"/>
              </w:rPr>
              <w:t xml:space="preserve">$220-280K + equity</w:t>
            </w:r>
          </w:p>
        </w:tc>
      </w:tr>
    </w:tbl>
    <w:p>
      <w:pPr>
        <w:spacing w:after="0" w:before="120"/>
      </w:pPr>
      <w:r>
        <w:t xml:space="preserve"/>
      </w:r>
    </w:p>
    <w:p>
      <w:pPr>
        <w:pStyle w:val="Heading2"/>
        <w:spacing w:after="160" w:before="360"/>
      </w:pPr>
      <w:r>
        <w:rPr>
          <w:rFonts w:ascii="Arial" w:cs="Arial" w:eastAsia="Arial" w:hAnsi="Arial"/>
          <w:b/>
          <w:bCs/>
          <w:color w:val="0A0F1E"/>
          <w:sz w:val="30"/>
          <w:szCs w:val="30"/>
        </w:rPr>
        <w:t xml:space="preserve">Funding Strategy</w:t>
      </w:r>
    </w:p>
    <w:p>
      <w:pPr>
        <w:pStyle w:val="ListParagraph"/>
        <w:numPr>
          <w:ilvl w:val="0"/>
          <w:numId w:val="2"/>
        </w:numPr>
        <w:spacing w:after="60" w:before="60"/>
      </w:pPr>
      <w:r>
        <w:rPr>
          <w:rFonts w:ascii="Arial" w:cs="Arial" w:eastAsia="Arial" w:hAnsi="Arial"/>
          <w:color w:val="1A202C"/>
          <w:sz w:val="22"/>
          <w:szCs w:val="22"/>
        </w:rPr>
        <w:t xml:space="preserve">Pre-seed ($500K-$2M): Founder capital + angels. Build database, publish 50 reviews, hit 100K monthly visitors, first $10K MRR affiliate.</w:t>
      </w:r>
    </w:p>
    <w:p>
      <w:pPr>
        <w:pStyle w:val="ListParagraph"/>
        <w:numPr>
          <w:ilvl w:val="0"/>
          <w:numId w:val="2"/>
        </w:numPr>
        <w:spacing w:after="60" w:before="60"/>
      </w:pPr>
      <w:r>
        <w:rPr>
          <w:rFonts w:ascii="Arial" w:cs="Arial" w:eastAsia="Arial" w:hAnsi="Arial"/>
          <w:color w:val="1A202C"/>
          <w:sz w:val="22"/>
          <w:szCs w:val="22"/>
        </w:rPr>
        <w:t xml:space="preserve">Seed ($5-8M): Post-traction. Target Tier-1 robotics-adjacent funds (a16z, Lux, Khosla, Andreessen). Marketplace live, $100K MRR.</w:t>
      </w:r>
    </w:p>
    <w:p>
      <w:pPr>
        <w:pStyle w:val="ListParagraph"/>
        <w:numPr>
          <w:ilvl w:val="0"/>
          <w:numId w:val="2"/>
        </w:numPr>
        <w:spacing w:after="60" w:before="60"/>
      </w:pPr>
      <w:r>
        <w:rPr>
          <w:rFonts w:ascii="Arial" w:cs="Arial" w:eastAsia="Arial" w:hAnsi="Arial"/>
          <w:color w:val="1A202C"/>
          <w:sz w:val="22"/>
          <w:szCs w:val="22"/>
        </w:rPr>
        <w:t xml:space="preserve">Series A ($20-35M): Product-market fit proven. $500K MRR+. Enterprise traction. International expansion.</w:t>
      </w:r>
    </w:p>
    <w:p>
      <w:pPr>
        <w:pStyle w:val="ListParagraph"/>
        <w:numPr>
          <w:ilvl w:val="0"/>
          <w:numId w:val="2"/>
        </w:numPr>
        <w:spacing w:after="60" w:before="60"/>
      </w:pPr>
      <w:r>
        <w:rPr>
          <w:rFonts w:ascii="Arial" w:cs="Arial" w:eastAsia="Arial" w:hAnsi="Arial"/>
          <w:color w:val="1A202C"/>
          <w:sz w:val="22"/>
          <w:szCs w:val="22"/>
        </w:rPr>
        <w:t xml:space="preserve">Strategic investors to target: NVIDIA, Qualcomm Ventures, Toyota AI Ventures, iRobot (if independent), Lowe's Ventures, Home Depot Ventures.</w:t>
      </w:r>
    </w:p>
    <w:p>
      <w:pPr>
        <w:spacing w:after="0" w:before="120"/>
      </w:pPr>
      <w:r>
        <w:t xml:space="preserve"/>
      </w:r>
    </w:p>
    <w:p>
      <w:pPr>
        <w:pStyle w:val="Heading2"/>
        <w:spacing w:after="160" w:before="360"/>
      </w:pPr>
      <w:r>
        <w:rPr>
          <w:rFonts w:ascii="Arial" w:cs="Arial" w:eastAsia="Arial" w:hAnsi="Arial"/>
          <w:b/>
          <w:bCs/>
          <w:color w:val="0A0F1E"/>
          <w:sz w:val="30"/>
          <w:szCs w:val="30"/>
        </w:rPr>
        <w:t xml:space="preserve">Execution Sprint Plan — First 90 Days</w:t>
      </w:r>
    </w:p>
    <w:p>
      <w:pPr>
        <w:pStyle w:val="ListParagraph"/>
        <w:numPr>
          <w:ilvl w:val="0"/>
          <w:numId w:val="3"/>
        </w:numPr>
        <w:spacing w:after="60" w:before="60"/>
      </w:pPr>
      <w:r>
        <w:rPr>
          <w:rFonts w:ascii="Arial" w:cs="Arial" w:eastAsia="Arial" w:hAnsi="Arial"/>
          <w:color w:val="1A202C"/>
          <w:sz w:val="22"/>
          <w:szCs w:val="22"/>
        </w:rPr>
        <w:t xml:space="preserve">Days 1-14: Infrastructure. Set up all tech infra, CI/CD, design system, domain, brand.</w:t>
      </w:r>
    </w:p>
    <w:p>
      <w:pPr>
        <w:pStyle w:val="ListParagraph"/>
        <w:numPr>
          <w:ilvl w:val="0"/>
          <w:numId w:val="3"/>
        </w:numPr>
        <w:spacing w:after="60" w:before="60"/>
      </w:pPr>
      <w:r>
        <w:rPr>
          <w:rFonts w:ascii="Arial" w:cs="Arial" w:eastAsia="Arial" w:hAnsi="Arial"/>
          <w:color w:val="1A202C"/>
          <w:sz w:val="22"/>
          <w:szCs w:val="22"/>
        </w:rPr>
        <w:t xml:space="preserve">Days 15-30: Database. Ingest 500 robots with full specs. Deploy search and browse.</w:t>
      </w:r>
    </w:p>
    <w:p>
      <w:pPr>
        <w:pStyle w:val="ListParagraph"/>
        <w:numPr>
          <w:ilvl w:val="0"/>
          <w:numId w:val="3"/>
        </w:numPr>
        <w:spacing w:after="60" w:before="60"/>
      </w:pPr>
      <w:r>
        <w:rPr>
          <w:rFonts w:ascii="Arial" w:cs="Arial" w:eastAsia="Arial" w:hAnsi="Arial"/>
          <w:color w:val="1A202C"/>
          <w:sz w:val="22"/>
          <w:szCs w:val="22"/>
        </w:rPr>
        <w:t xml:space="preserve">Days 31-45: AI Advisor v1. Deploy Claude-powered advisor with 50 use-case mappings.</w:t>
      </w:r>
    </w:p>
    <w:p>
      <w:pPr>
        <w:pStyle w:val="ListParagraph"/>
        <w:numPr>
          <w:ilvl w:val="0"/>
          <w:numId w:val="3"/>
        </w:numPr>
        <w:spacing w:after="60" w:before="60"/>
      </w:pPr>
      <w:r>
        <w:rPr>
          <w:rFonts w:ascii="Arial" w:cs="Arial" w:eastAsia="Arial" w:hAnsi="Arial"/>
          <w:color w:val="1A202C"/>
          <w:sz w:val="22"/>
          <w:szCs w:val="22"/>
        </w:rPr>
        <w:t xml:space="preserve">Days 46-60: Content. Publish first 10 expert reviews, 5 "Best Of" guides, launch newsletter.</w:t>
      </w:r>
    </w:p>
    <w:p>
      <w:pPr>
        <w:pStyle w:val="ListParagraph"/>
        <w:numPr>
          <w:ilvl w:val="0"/>
          <w:numId w:val="3"/>
        </w:numPr>
        <w:spacing w:after="60" w:before="60"/>
      </w:pPr>
      <w:r>
        <w:rPr>
          <w:rFonts w:ascii="Arial" w:cs="Arial" w:eastAsia="Arial" w:hAnsi="Arial"/>
          <w:color w:val="1A202C"/>
          <w:sz w:val="22"/>
          <w:szCs w:val="22"/>
        </w:rPr>
        <w:t xml:space="preserve">Days 61-75: SEO + Distribution. Submit sitemaps, build programmatic pages, PR outreach.</w:t>
      </w:r>
    </w:p>
    <w:p>
      <w:pPr>
        <w:pStyle w:val="ListParagraph"/>
        <w:numPr>
          <w:ilvl w:val="0"/>
          <w:numId w:val="3"/>
        </w:numPr>
        <w:spacing w:after="60" w:before="60"/>
      </w:pPr>
      <w:r>
        <w:rPr>
          <w:rFonts w:ascii="Arial" w:cs="Arial" w:eastAsia="Arial" w:hAnsi="Arial"/>
          <w:color w:val="1A202C"/>
          <w:sz w:val="22"/>
          <w:szCs w:val="22"/>
        </w:rPr>
        <w:t xml:space="preserve">Days 76-90: Affiliate + First Revenue. Activate affiliate networks, first commission check.</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0A0F1E" w:val="clear"/>
            <w:tcMar>
              <w:top w:type="dxa" w:w="120"/>
              <w:left w:type="dxa" w:w="160"/>
              <w:bottom w:type="dxa" w:w="120"/>
              <w:right w:type="dxa" w:w="160"/>
            </w:tcMar>
            <w:vAlign w:val="center"/>
          </w:tcPr>
          <w:p>
            <w:pPr>
              <w:jc w:val="center"/>
            </w:pPr>
            <w:r>
              <w:rPr>
                <w:rFonts w:ascii="Arial" w:cs="Arial" w:eastAsia="Arial" w:hAnsi="Arial"/>
                <w:b/>
                <w:bCs/>
                <w:color w:val="00C2FF"/>
                <w:sz w:val="28"/>
                <w:szCs w:val="28"/>
              </w:rPr>
              <w:t xml:space="preserve">10</w:t>
            </w:r>
          </w:p>
        </w:tc>
        <w:tc>
          <w:tcPr>
            <w:tcW w:type="dxa" w:w="8560"/>
            <w:tcBorders>
              <w:top w:val="none" w:color="FFFFFF" w:sz="0"/>
              <w:left w:val="none" w:color="FFFFFF" w:sz="0"/>
              <w:bottom w:val="none" w:color="FFFFFF" w:sz="0"/>
              <w:right w:val="none" w:color="FFFFFF" w:sz="0"/>
            </w:tcBorders>
            <w:shd w:fill="F4F6FB" w:val="clear"/>
            <w:tcMar>
              <w:top w:type="dxa" w:w="120"/>
              <w:left w:type="dxa" w:w="200"/>
              <w:bottom w:type="dxa" w:w="120"/>
              <w:right w:type="dxa" w:w="160"/>
            </w:tcMar>
            <w:vAlign w:val="center"/>
          </w:tcPr>
          <w:p>
            <w:r>
              <w:rPr>
                <w:rFonts w:ascii="Arial" w:cs="Arial" w:eastAsia="Arial" w:hAnsi="Arial"/>
                <w:b/>
                <w:bCs/>
                <w:color w:val="0A0F1E"/>
                <w:spacing w:val="40"/>
                <w:sz w:val="28"/>
                <w:szCs w:val="28"/>
              </w:rPr>
              <w:t xml:space="preserve">RISKS, MITIGATIONS &amp; MOATS</w:t>
            </w:r>
          </w:p>
        </w:tc>
      </w:tr>
    </w:tbl>
    <w:p>
      <w:pPr>
        <w:spacing w:after="0" w:before="120"/>
      </w:pPr>
      <w:r>
        <w:t xml:space="preserve"/>
      </w:r>
    </w:p>
    <w:p>
      <w:pPr>
        <w:pStyle w:val="Heading2"/>
        <w:spacing w:after="160" w:before="360"/>
      </w:pPr>
      <w:r>
        <w:rPr>
          <w:rFonts w:ascii="Arial" w:cs="Arial" w:eastAsia="Arial" w:hAnsi="Arial"/>
          <w:b/>
          <w:bCs/>
          <w:color w:val="0A0F1E"/>
          <w:sz w:val="30"/>
          <w:szCs w:val="30"/>
        </w:rPr>
        <w:t xml:space="preserve">Key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60"/>
        <w:gridCol w:w="3800"/>
      </w:tblGrid>
      <w:tr>
        <w:trPr>
          <w:tblHeader/>
        </w:trPr>
        <w:tc>
          <w:tcPr>
            <w:tcW w:type="dxa" w:w="2200"/>
            <w:tcBorders>
              <w:top w:val="single" w:color="E2E8F0" w:sz="1"/>
              <w:left w:val="single" w:color="E2E8F0" w:sz="1"/>
              <w:bottom w:val="single" w:color="E2E8F0" w:sz="1"/>
              <w:right w:val="single" w:color="E2E8F0" w:sz="1"/>
            </w:tcBorders>
            <w:shd w:fill="0A0F1E" w:val="clear"/>
            <w:tcMar>
              <w:top w:type="dxa" w:w="80"/>
              <w:left w:type="dxa" w:w="120"/>
              <w:bottom w:type="dxa" w:w="80"/>
              <w:right w:type="dxa" w:w="80"/>
            </w:tcMar>
          </w:tcPr>
          <w:p>
            <w:r>
              <w:rPr>
                <w:rFonts w:ascii="Arial" w:cs="Arial" w:eastAsia="Arial" w:hAnsi="Arial"/>
                <w:b/>
                <w:bCs/>
                <w:color w:val="FFFFFF"/>
                <w:sz w:val="20"/>
                <w:szCs w:val="20"/>
              </w:rPr>
              <w:t xml:space="preserve">Risk</w:t>
            </w:r>
          </w:p>
        </w:tc>
        <w:tc>
          <w:tcPr>
            <w:tcW w:type="dxa" w:w="3360"/>
            <w:tcBorders>
              <w:top w:val="single" w:color="E2E8F0" w:sz="1"/>
              <w:left w:val="single" w:color="E2E8F0" w:sz="1"/>
              <w:bottom w:val="single" w:color="E2E8F0" w:sz="1"/>
              <w:right w:val="single" w:color="E2E8F0" w:sz="1"/>
            </w:tcBorders>
            <w:shd w:fill="0A0F1E" w:val="clear"/>
            <w:tcMar>
              <w:top w:type="dxa" w:w="80"/>
              <w:left w:type="dxa" w:w="120"/>
              <w:bottom w:type="dxa" w:w="80"/>
              <w:right w:type="dxa" w:w="80"/>
            </w:tcMar>
          </w:tcPr>
          <w:p>
            <w:r>
              <w:rPr>
                <w:rFonts w:ascii="Arial" w:cs="Arial" w:eastAsia="Arial" w:hAnsi="Arial"/>
                <w:b/>
                <w:bCs/>
                <w:color w:val="FFFFFF"/>
                <w:sz w:val="20"/>
                <w:szCs w:val="20"/>
              </w:rPr>
              <w:t xml:space="preserve">Impact</w:t>
            </w:r>
          </w:p>
        </w:tc>
        <w:tc>
          <w:tcPr>
            <w:tcW w:type="dxa" w:w="3800"/>
            <w:tcBorders>
              <w:top w:val="single" w:color="E2E8F0" w:sz="1"/>
              <w:left w:val="single" w:color="E2E8F0" w:sz="1"/>
              <w:bottom w:val="single" w:color="E2E8F0" w:sz="1"/>
              <w:right w:val="single" w:color="E2E8F0" w:sz="1"/>
            </w:tcBorders>
            <w:shd w:fill="0A0F1E" w:val="clear"/>
            <w:tcMar>
              <w:top w:type="dxa" w:w="80"/>
              <w:left w:type="dxa" w:w="120"/>
              <w:bottom w:type="dxa" w:w="80"/>
              <w:right w:type="dxa" w:w="80"/>
            </w:tcMar>
          </w:tcPr>
          <w:p>
            <w:r>
              <w:rPr>
                <w:rFonts w:ascii="Arial" w:cs="Arial" w:eastAsia="Arial" w:hAnsi="Arial"/>
                <w:b/>
                <w:bCs/>
                <w:color w:val="FFFFFF"/>
                <w:sz w:val="20"/>
                <w:szCs w:val="20"/>
              </w:rPr>
              <w:t xml:space="preserve">Mitigation</w:t>
            </w:r>
          </w:p>
        </w:tc>
      </w:tr>
      <w:tr>
        <w:tc>
          <w:tcPr>
            <w:tcW w:type="dxa" w:w="2200"/>
            <w:tcBorders>
              <w:top w:val="single" w:color="E2E8F0" w:sz="1"/>
              <w:left w:val="single" w:color="E2E8F0" w:sz="1"/>
              <w:bottom w:val="single" w:color="E2E8F0" w:sz="1"/>
              <w:right w:val="single" w:color="E2E8F0" w:sz="1"/>
            </w:tcBorders>
            <w:shd w:fill="F4F6FB" w:val="clear"/>
            <w:tcMar>
              <w:top w:type="dxa" w:w="80"/>
              <w:left w:type="dxa" w:w="120"/>
              <w:bottom w:type="dxa" w:w="80"/>
              <w:right w:type="dxa" w:w="80"/>
            </w:tcMar>
          </w:tcPr>
          <w:p>
            <w:r>
              <w:rPr>
                <w:rFonts w:ascii="Arial" w:cs="Arial" w:eastAsia="Arial" w:hAnsi="Arial"/>
                <w:b/>
                <w:bCs/>
                <w:color w:val="1A202C"/>
                <w:sz w:val="19"/>
                <w:szCs w:val="19"/>
              </w:rPr>
              <w:t xml:space="preserve">Amazon enters category</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19"/>
                <w:szCs w:val="19"/>
              </w:rPr>
              <w:t xml:space="preserve">High — instant distribution and trust</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19"/>
                <w:szCs w:val="19"/>
              </w:rPr>
              <w:t xml:space="preserve">Build content/review moat Amazon cannot replicate; our editorial independence is our moat</w:t>
            </w:r>
          </w:p>
        </w:tc>
      </w:tr>
      <w:tr>
        <w:tc>
          <w:tcPr>
            <w:tcW w:type="dxa" w:w="2200"/>
            <w:tcBorders>
              <w:top w:val="single" w:color="E2E8F0" w:sz="1"/>
              <w:left w:val="single" w:color="E2E8F0" w:sz="1"/>
              <w:bottom w:val="single" w:color="E2E8F0" w:sz="1"/>
              <w:right w:val="single" w:color="E2E8F0" w:sz="1"/>
            </w:tcBorders>
            <w:shd w:fill="F4F6FB" w:val="clear"/>
            <w:tcMar>
              <w:top w:type="dxa" w:w="80"/>
              <w:left w:type="dxa" w:w="120"/>
              <w:bottom w:type="dxa" w:w="80"/>
              <w:right w:type="dxa" w:w="80"/>
            </w:tcMar>
          </w:tcPr>
          <w:p>
            <w:r>
              <w:rPr>
                <w:rFonts w:ascii="Arial" w:cs="Arial" w:eastAsia="Arial" w:hAnsi="Arial"/>
                <w:b/>
                <w:bCs/>
                <w:color w:val="1A202C"/>
                <w:sz w:val="19"/>
                <w:szCs w:val="19"/>
              </w:rPr>
              <w:t xml:space="preserve">Robotics market develops slowly</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19"/>
                <w:szCs w:val="19"/>
              </w:rPr>
              <w:t xml:space="preserve">Medium — reduces TAM timeline</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19"/>
                <w:szCs w:val="19"/>
              </w:rPr>
              <w:t xml:space="preserve">Content platform is cash-flow positive on affiliate/ads alone; marketplace scales with market</w:t>
            </w:r>
          </w:p>
        </w:tc>
      </w:tr>
      <w:tr>
        <w:tc>
          <w:tcPr>
            <w:tcW w:type="dxa" w:w="2200"/>
            <w:tcBorders>
              <w:top w:val="single" w:color="E2E8F0" w:sz="1"/>
              <w:left w:val="single" w:color="E2E8F0" w:sz="1"/>
              <w:bottom w:val="single" w:color="E2E8F0" w:sz="1"/>
              <w:right w:val="single" w:color="E2E8F0" w:sz="1"/>
            </w:tcBorders>
            <w:shd w:fill="F4F6FB" w:val="clear"/>
            <w:tcMar>
              <w:top w:type="dxa" w:w="80"/>
              <w:left w:type="dxa" w:w="120"/>
              <w:bottom w:type="dxa" w:w="80"/>
              <w:right w:type="dxa" w:w="80"/>
            </w:tcMar>
          </w:tcPr>
          <w:p>
            <w:r>
              <w:rPr>
                <w:rFonts w:ascii="Arial" w:cs="Arial" w:eastAsia="Arial" w:hAnsi="Arial"/>
                <w:b/>
                <w:bCs/>
                <w:color w:val="1A202C"/>
                <w:sz w:val="19"/>
                <w:szCs w:val="19"/>
              </w:rPr>
              <w:t xml:space="preserve">Large media co acquires competitor</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19"/>
                <w:szCs w:val="19"/>
              </w:rPr>
              <w:t xml:space="preserve">Medium — funded competition</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19"/>
                <w:szCs w:val="19"/>
              </w:rPr>
              <w:t xml:space="preserve">Our AI-native, data-first architecture creates structural advantage over bolt-on editorial</w:t>
            </w:r>
          </w:p>
        </w:tc>
      </w:tr>
      <w:tr>
        <w:tc>
          <w:tcPr>
            <w:tcW w:type="dxa" w:w="2200"/>
            <w:tcBorders>
              <w:top w:val="single" w:color="E2E8F0" w:sz="1"/>
              <w:left w:val="single" w:color="E2E8F0" w:sz="1"/>
              <w:bottom w:val="single" w:color="E2E8F0" w:sz="1"/>
              <w:right w:val="single" w:color="E2E8F0" w:sz="1"/>
            </w:tcBorders>
            <w:shd w:fill="F4F6FB" w:val="clear"/>
            <w:tcMar>
              <w:top w:type="dxa" w:w="80"/>
              <w:left w:type="dxa" w:w="120"/>
              <w:bottom w:type="dxa" w:w="80"/>
              <w:right w:type="dxa" w:w="80"/>
            </w:tcMar>
          </w:tcPr>
          <w:p>
            <w:r>
              <w:rPr>
                <w:rFonts w:ascii="Arial" w:cs="Arial" w:eastAsia="Arial" w:hAnsi="Arial"/>
                <w:b/>
                <w:bCs/>
                <w:color w:val="1A202C"/>
                <w:sz w:val="19"/>
                <w:szCs w:val="19"/>
              </w:rPr>
              <w:t xml:space="preserve">Manufacturer data fragmentation</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19"/>
                <w:szCs w:val="19"/>
              </w:rPr>
              <w:t xml:space="preserve">High — database quality</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19"/>
                <w:szCs w:val="19"/>
              </w:rPr>
              <w:t xml:space="preserve">Invest in proprietary scraping infra; offer free manufacturer portal to incentivize structured feeds</w:t>
            </w:r>
          </w:p>
        </w:tc>
      </w:tr>
      <w:tr>
        <w:tc>
          <w:tcPr>
            <w:tcW w:type="dxa" w:w="2200"/>
            <w:tcBorders>
              <w:top w:val="single" w:color="E2E8F0" w:sz="1"/>
              <w:left w:val="single" w:color="E2E8F0" w:sz="1"/>
              <w:bottom w:val="single" w:color="E2E8F0" w:sz="1"/>
              <w:right w:val="single" w:color="E2E8F0" w:sz="1"/>
            </w:tcBorders>
            <w:shd w:fill="F4F6FB" w:val="clear"/>
            <w:tcMar>
              <w:top w:type="dxa" w:w="80"/>
              <w:left w:type="dxa" w:w="120"/>
              <w:bottom w:type="dxa" w:w="80"/>
              <w:right w:type="dxa" w:w="80"/>
            </w:tcMar>
          </w:tcPr>
          <w:p>
            <w:r>
              <w:rPr>
                <w:rFonts w:ascii="Arial" w:cs="Arial" w:eastAsia="Arial" w:hAnsi="Arial"/>
                <w:b/>
                <w:bCs/>
                <w:color w:val="1A202C"/>
                <w:sz w:val="19"/>
                <w:szCs w:val="19"/>
              </w:rPr>
              <w:t xml:space="preserve">AI review trust concerns</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19"/>
                <w:szCs w:val="19"/>
              </w:rPr>
              <w:t xml:space="preserve">Medium — editorial credibility</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19"/>
                <w:szCs w:val="19"/>
              </w:rPr>
              <w:t xml:space="preserve">Strict human-in-the-loop for final scores; AI aids, never replaces editorial judgment</w:t>
            </w:r>
          </w:p>
        </w:tc>
      </w:tr>
      <w:tr>
        <w:tc>
          <w:tcPr>
            <w:tcW w:type="dxa" w:w="2200"/>
            <w:tcBorders>
              <w:top w:val="single" w:color="E2E8F0" w:sz="1"/>
              <w:left w:val="single" w:color="E2E8F0" w:sz="1"/>
              <w:bottom w:val="single" w:color="E2E8F0" w:sz="1"/>
              <w:right w:val="single" w:color="E2E8F0" w:sz="1"/>
            </w:tcBorders>
            <w:shd w:fill="F4F6FB" w:val="clear"/>
            <w:tcMar>
              <w:top w:type="dxa" w:w="80"/>
              <w:left w:type="dxa" w:w="120"/>
              <w:bottom w:type="dxa" w:w="80"/>
              <w:right w:type="dxa" w:w="80"/>
            </w:tcMar>
          </w:tcPr>
          <w:p>
            <w:r>
              <w:rPr>
                <w:rFonts w:ascii="Arial" w:cs="Arial" w:eastAsia="Arial" w:hAnsi="Arial"/>
                <w:b/>
                <w:bCs/>
                <w:color w:val="1A202C"/>
                <w:sz w:val="19"/>
                <w:szCs w:val="19"/>
              </w:rPr>
              <w:t xml:space="preserve">Platform regulation (EU AI Act)</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19"/>
                <w:szCs w:val="19"/>
              </w:rPr>
              <w:t xml:space="preserve">Low-Medium — compliance cost</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19"/>
                <w:szCs w:val="19"/>
              </w:rPr>
              <w:t xml:space="preserve">SOC 2, GDPR compliance from day one; retain regulatory counsel at Series A</w:t>
            </w:r>
          </w:p>
        </w:tc>
      </w:tr>
    </w:tbl>
    <w:p>
      <w:pPr>
        <w:spacing w:after="0" w:before="120"/>
      </w:pPr>
      <w:r>
        <w:t xml:space="preserve"/>
      </w:r>
    </w:p>
    <w:p>
      <w:pPr>
        <w:pStyle w:val="Heading2"/>
        <w:spacing w:after="160" w:before="360"/>
      </w:pPr>
      <w:r>
        <w:rPr>
          <w:rFonts w:ascii="Arial" w:cs="Arial" w:eastAsia="Arial" w:hAnsi="Arial"/>
          <w:b/>
          <w:bCs/>
          <w:color w:val="0A0F1E"/>
          <w:sz w:val="30"/>
          <w:szCs w:val="30"/>
        </w:rPr>
        <w:t xml:space="preserve">Competitive Moats</w:t>
      </w:r>
    </w:p>
    <w:p>
      <w:pPr>
        <w:spacing w:after="80" w:before="80"/>
      </w:pPr>
      <w:r>
        <w:rPr>
          <w:rFonts w:ascii="Arial" w:cs="Arial" w:eastAsia="Arial" w:hAnsi="Arial"/>
          <w:color w:val="1A202C"/>
          <w:sz w:val="22"/>
          <w:szCs w:val="22"/>
        </w:rPr>
        <w:t xml:space="preserve">A great product is not enough — we must build structural advantages that compound:</w:t>
      </w:r>
    </w:p>
    <w:p>
      <w:pPr>
        <w:pStyle w:val="ListParagraph"/>
        <w:numPr>
          <w:ilvl w:val="0"/>
          <w:numId w:val="2"/>
        </w:numPr>
        <w:spacing w:after="60" w:before="60"/>
      </w:pPr>
      <w:r>
        <w:rPr>
          <w:rFonts w:ascii="Arial" w:cs="Arial" w:eastAsia="Arial" w:hAnsi="Arial"/>
          <w:color w:val="1A202C"/>
          <w:sz w:val="22"/>
          <w:szCs w:val="22"/>
        </w:rPr>
        <w:t xml:space="preserve">Data Network Effect — every review, every marketplace transaction, every advisor conversation improves the product and is impossible to replicate from scratch</w:t>
      </w:r>
    </w:p>
    <w:p>
      <w:pPr>
        <w:pStyle w:val="ListParagraph"/>
        <w:numPr>
          <w:ilvl w:val="0"/>
          <w:numId w:val="2"/>
        </w:numPr>
        <w:spacing w:after="60" w:before="60"/>
      </w:pPr>
      <w:r>
        <w:rPr>
          <w:rFonts w:ascii="Arial" w:cs="Arial" w:eastAsia="Arial" w:hAnsi="Arial"/>
          <w:color w:val="1A202C"/>
          <w:sz w:val="22"/>
          <w:szCs w:val="22"/>
        </w:rPr>
        <w:t xml:space="preserve">Editorial Trust — independent, rigorous reviews with transparent methodology; trust takes years to build and cannot be bought</w:t>
      </w:r>
    </w:p>
    <w:p>
      <w:pPr>
        <w:pStyle w:val="ListParagraph"/>
        <w:numPr>
          <w:ilvl w:val="0"/>
          <w:numId w:val="2"/>
        </w:numPr>
        <w:spacing w:after="60" w:before="60"/>
      </w:pPr>
      <w:r>
        <w:rPr>
          <w:rFonts w:ascii="Arial" w:cs="Arial" w:eastAsia="Arial" w:hAnsi="Arial"/>
          <w:color w:val="1A202C"/>
          <w:sz w:val="22"/>
          <w:szCs w:val="22"/>
        </w:rPr>
        <w:t xml:space="preserve">SEO Moat — 10,000+ high-value pages ranking in Google is worth $5M/year in equivalent ad spend; this compounds with every new review</w:t>
      </w:r>
    </w:p>
    <w:p>
      <w:pPr>
        <w:pStyle w:val="ListParagraph"/>
        <w:numPr>
          <w:ilvl w:val="0"/>
          <w:numId w:val="2"/>
        </w:numPr>
        <w:spacing w:after="60" w:before="60"/>
      </w:pPr>
      <w:r>
        <w:rPr>
          <w:rFonts w:ascii="Arial" w:cs="Arial" w:eastAsia="Arial" w:hAnsi="Arial"/>
          <w:color w:val="1A202C"/>
          <w:sz w:val="22"/>
          <w:szCs w:val="22"/>
        </w:rPr>
        <w:t xml:space="preserve">Marketplace Liquidity — once buyers and sellers are on the platform, switching cost is high and the gap between us and a new entrant widens monthly</w:t>
      </w:r>
    </w:p>
    <w:p>
      <w:pPr>
        <w:pStyle w:val="ListParagraph"/>
        <w:numPr>
          <w:ilvl w:val="0"/>
          <w:numId w:val="2"/>
        </w:numPr>
        <w:spacing w:after="60" w:before="60"/>
      </w:pPr>
      <w:r>
        <w:rPr>
          <w:rFonts w:ascii="Arial" w:cs="Arial" w:eastAsia="Arial" w:hAnsi="Arial"/>
          <w:color w:val="1A202C"/>
          <w:sz w:val="22"/>
          <w:szCs w:val="22"/>
        </w:rPr>
        <w:t xml:space="preserve">AI Training Advantage — proprietary behavioral data (what users search, compare, ask, buy) creates a continuously improving advisor that generic AI cannot match</w:t>
      </w:r>
    </w:p>
    <w:p>
      <w:pPr>
        <w:pStyle w:val="ListParagraph"/>
        <w:numPr>
          <w:ilvl w:val="0"/>
          <w:numId w:val="2"/>
        </w:numPr>
        <w:spacing w:after="60" w:before="60"/>
      </w:pPr>
      <w:r>
        <w:rPr>
          <w:rFonts w:ascii="Arial" w:cs="Arial" w:eastAsia="Arial" w:hAnsi="Arial"/>
          <w:color w:val="1A202C"/>
          <w:sz w:val="22"/>
          <w:szCs w:val="22"/>
        </w:rPr>
        <w:t xml:space="preserve">Category Definition — the entity that creates a category's vocabulary, frameworks, and standards (the "RoboScore") owns the intellectual property of the space</w:t>
      </w:r>
    </w:p>
    <w:p>
      <w:pPr>
        <w:spacing w:after="0" w:before="120"/>
      </w:pPr>
      <w:r>
        <w:t xml:space="preserve"/>
      </w:r>
    </w:p>
    <w:p>
      <w:pPr>
        <w:pStyle w:val="Heading2"/>
        <w:spacing w:after="160" w:before="360"/>
      </w:pPr>
      <w:r>
        <w:rPr>
          <w:rFonts w:ascii="Arial" w:cs="Arial" w:eastAsia="Arial" w:hAnsi="Arial"/>
          <w:b/>
          <w:bCs/>
          <w:color w:val="0A0F1E"/>
          <w:sz w:val="30"/>
          <w:szCs w:val="30"/>
        </w:rPr>
        <w:t xml:space="preserve">Success Metrics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180"/>
        <w:gridCol w:w="2180"/>
      </w:tblGrid>
      <w:tr>
        <w:trPr>
          <w:tblHeader/>
        </w:trPr>
        <w:tc>
          <w:tcPr>
            <w:tcW w:type="dxa" w:w="3000"/>
            <w:tcBorders>
              <w:top w:val="single" w:color="E2E8F0" w:sz="1"/>
              <w:left w:val="single" w:color="E2E8F0" w:sz="1"/>
              <w:bottom w:val="single" w:color="E2E8F0" w:sz="1"/>
              <w:right w:val="single" w:color="E2E8F0" w:sz="1"/>
            </w:tcBorders>
            <w:shd w:fill="0A0F1E" w:val="clear"/>
            <w:tcMar>
              <w:top w:type="dxa" w:w="80"/>
              <w:left w:type="dxa" w:w="120"/>
              <w:bottom w:type="dxa" w:w="80"/>
              <w:right w:type="dxa" w:w="80"/>
            </w:tcMar>
          </w:tcPr>
          <w:p>
            <w:r>
              <w:rPr>
                <w:rFonts w:ascii="Arial" w:cs="Arial" w:eastAsia="Arial" w:hAnsi="Arial"/>
                <w:b/>
                <w:bCs/>
                <w:color w:val="FFFFFF"/>
                <w:sz w:val="20"/>
                <w:szCs w:val="20"/>
              </w:rPr>
              <w:t xml:space="preserve">Metric</w:t>
            </w:r>
          </w:p>
        </w:tc>
        <w:tc>
          <w:tcPr>
            <w:tcW w:type="dxa" w:w="2000"/>
            <w:tcBorders>
              <w:top w:val="single" w:color="E2E8F0" w:sz="1"/>
              <w:left w:val="single" w:color="E2E8F0" w:sz="1"/>
              <w:bottom w:val="single" w:color="E2E8F0" w:sz="1"/>
              <w:right w:val="single" w:color="E2E8F0" w:sz="1"/>
            </w:tcBorders>
            <w:shd w:fill="0A0F1E" w:val="clear"/>
            <w:tcMar>
              <w:top w:type="dxa" w:w="80"/>
              <w:left w:type="dxa" w:w="120"/>
              <w:bottom w:type="dxa" w:w="80"/>
              <w:right w:type="dxa" w:w="80"/>
            </w:tcMar>
          </w:tcPr>
          <w:p>
            <w:r>
              <w:rPr>
                <w:rFonts w:ascii="Arial" w:cs="Arial" w:eastAsia="Arial" w:hAnsi="Arial"/>
                <w:b/>
                <w:bCs/>
                <w:color w:val="FFFFFF"/>
                <w:sz w:val="20"/>
                <w:szCs w:val="20"/>
              </w:rPr>
              <w:t xml:space="preserve">Month 6</w:t>
            </w:r>
          </w:p>
        </w:tc>
        <w:tc>
          <w:tcPr>
            <w:tcW w:type="dxa" w:w="2180"/>
            <w:tcBorders>
              <w:top w:val="single" w:color="E2E8F0" w:sz="1"/>
              <w:left w:val="single" w:color="E2E8F0" w:sz="1"/>
              <w:bottom w:val="single" w:color="E2E8F0" w:sz="1"/>
              <w:right w:val="single" w:color="E2E8F0" w:sz="1"/>
            </w:tcBorders>
            <w:shd w:fill="0A0F1E" w:val="clear"/>
            <w:tcMar>
              <w:top w:type="dxa" w:w="80"/>
              <w:left w:type="dxa" w:w="120"/>
              <w:bottom w:type="dxa" w:w="80"/>
              <w:right w:type="dxa" w:w="80"/>
            </w:tcMar>
          </w:tcPr>
          <w:p>
            <w:r>
              <w:rPr>
                <w:rFonts w:ascii="Arial" w:cs="Arial" w:eastAsia="Arial" w:hAnsi="Arial"/>
                <w:b/>
                <w:bCs/>
                <w:color w:val="FFFFFF"/>
                <w:sz w:val="20"/>
                <w:szCs w:val="20"/>
              </w:rPr>
              <w:t xml:space="preserve">Month 12</w:t>
            </w:r>
          </w:p>
        </w:tc>
        <w:tc>
          <w:tcPr>
            <w:tcW w:type="dxa" w:w="2180"/>
            <w:tcBorders>
              <w:top w:val="single" w:color="E2E8F0" w:sz="1"/>
              <w:left w:val="single" w:color="E2E8F0" w:sz="1"/>
              <w:bottom w:val="single" w:color="E2E8F0" w:sz="1"/>
              <w:right w:val="single" w:color="E2E8F0" w:sz="1"/>
            </w:tcBorders>
            <w:shd w:fill="0A0F1E" w:val="clear"/>
            <w:tcMar>
              <w:top w:type="dxa" w:w="80"/>
              <w:left w:type="dxa" w:w="120"/>
              <w:bottom w:type="dxa" w:w="80"/>
              <w:right w:type="dxa" w:w="80"/>
            </w:tcMar>
          </w:tcPr>
          <w:p>
            <w:r>
              <w:rPr>
                <w:rFonts w:ascii="Arial" w:cs="Arial" w:eastAsia="Arial" w:hAnsi="Arial"/>
                <w:b/>
                <w:bCs/>
                <w:color w:val="FFFFFF"/>
                <w:sz w:val="20"/>
                <w:szCs w:val="20"/>
              </w:rPr>
              <w:t xml:space="preserve">Month 36</w:t>
            </w:r>
          </w:p>
        </w:tc>
      </w:tr>
      <w:tr>
        <w:tc>
          <w:tcPr>
            <w:tcW w:type="dxa" w:w="3000"/>
            <w:tcBorders>
              <w:top w:val="single" w:color="E2E8F0" w:sz="1"/>
              <w:left w:val="single" w:color="E2E8F0" w:sz="1"/>
              <w:bottom w:val="single" w:color="E2E8F0" w:sz="1"/>
              <w:right w:val="single" w:color="E2E8F0" w:sz="1"/>
            </w:tcBorders>
            <w:shd w:fill="F4F6FB" w:val="clear"/>
            <w:tcMar>
              <w:top w:type="dxa" w:w="80"/>
              <w:left w:type="dxa" w:w="120"/>
              <w:bottom w:type="dxa" w:w="80"/>
              <w:right w:type="dxa" w:w="80"/>
            </w:tcMar>
          </w:tcPr>
          <w:p>
            <w:r>
              <w:rPr>
                <w:rFonts w:ascii="Arial" w:cs="Arial" w:eastAsia="Arial" w:hAnsi="Arial"/>
                <w:b/>
                <w:bCs/>
                <w:color w:val="1A202C"/>
                <w:sz w:val="20"/>
                <w:szCs w:val="20"/>
              </w:rPr>
              <w:t xml:space="preserve">Monthly Unique Visitors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20"/>
                <w:szCs w:val="20"/>
              </w:rPr>
              <w:t xml:space="preserve">150K</w:t>
            </w:r>
          </w:p>
        </w:tc>
        <w:tc>
          <w:tcPr>
            <w:tcW w:type="dxa" w:w="21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20"/>
                <w:szCs w:val="20"/>
              </w:rPr>
              <w:t xml:space="preserve">1M</w:t>
            </w:r>
          </w:p>
        </w:tc>
        <w:tc>
          <w:tcPr>
            <w:tcW w:type="dxa" w:w="21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7B2FFF"/>
                <w:sz w:val="20"/>
                <w:szCs w:val="20"/>
              </w:rPr>
              <w:t xml:space="preserve">8M+</w:t>
            </w:r>
          </w:p>
        </w:tc>
      </w:tr>
      <w:tr>
        <w:tc>
          <w:tcPr>
            <w:tcW w:type="dxa" w:w="3000"/>
            <w:tcBorders>
              <w:top w:val="single" w:color="E2E8F0" w:sz="1"/>
              <w:left w:val="single" w:color="E2E8F0" w:sz="1"/>
              <w:bottom w:val="single" w:color="E2E8F0" w:sz="1"/>
              <w:right w:val="single" w:color="E2E8F0" w:sz="1"/>
            </w:tcBorders>
            <w:shd w:fill="F4F6FB" w:val="clear"/>
            <w:tcMar>
              <w:top w:type="dxa" w:w="80"/>
              <w:left w:type="dxa" w:w="120"/>
              <w:bottom w:type="dxa" w:w="80"/>
              <w:right w:type="dxa" w:w="80"/>
            </w:tcMar>
          </w:tcPr>
          <w:p>
            <w:r>
              <w:rPr>
                <w:rFonts w:ascii="Arial" w:cs="Arial" w:eastAsia="Arial" w:hAnsi="Arial"/>
                <w:b/>
                <w:bCs/>
                <w:color w:val="1A202C"/>
                <w:sz w:val="20"/>
                <w:szCs w:val="20"/>
              </w:rPr>
              <w:t xml:space="preserve">Robot Database Coverage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20"/>
                <w:szCs w:val="20"/>
              </w:rPr>
              <w:t xml:space="preserve">2,000</w:t>
            </w:r>
          </w:p>
        </w:tc>
        <w:tc>
          <w:tcPr>
            <w:tcW w:type="dxa" w:w="21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20"/>
                <w:szCs w:val="20"/>
              </w:rPr>
              <w:t xml:space="preserve">8,000</w:t>
            </w:r>
          </w:p>
        </w:tc>
        <w:tc>
          <w:tcPr>
            <w:tcW w:type="dxa" w:w="21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7B2FFF"/>
                <w:sz w:val="20"/>
                <w:szCs w:val="20"/>
              </w:rPr>
              <w:t xml:space="preserve">25,000+</w:t>
            </w:r>
          </w:p>
        </w:tc>
      </w:tr>
      <w:tr>
        <w:tc>
          <w:tcPr>
            <w:tcW w:type="dxa" w:w="3000"/>
            <w:tcBorders>
              <w:top w:val="single" w:color="E2E8F0" w:sz="1"/>
              <w:left w:val="single" w:color="E2E8F0" w:sz="1"/>
              <w:bottom w:val="single" w:color="E2E8F0" w:sz="1"/>
              <w:right w:val="single" w:color="E2E8F0" w:sz="1"/>
            </w:tcBorders>
            <w:shd w:fill="F4F6FB" w:val="clear"/>
            <w:tcMar>
              <w:top w:type="dxa" w:w="80"/>
              <w:left w:type="dxa" w:w="120"/>
              <w:bottom w:type="dxa" w:w="80"/>
              <w:right w:type="dxa" w:w="80"/>
            </w:tcMar>
          </w:tcPr>
          <w:p>
            <w:r>
              <w:rPr>
                <w:rFonts w:ascii="Arial" w:cs="Arial" w:eastAsia="Arial" w:hAnsi="Arial"/>
                <w:b/>
                <w:bCs/>
                <w:color w:val="1A202C"/>
                <w:sz w:val="20"/>
                <w:szCs w:val="20"/>
              </w:rPr>
              <w:t xml:space="preserve">Published Expert Reviews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20"/>
                <w:szCs w:val="20"/>
              </w:rPr>
              <w:t xml:space="preserve">50</w:t>
            </w:r>
          </w:p>
        </w:tc>
        <w:tc>
          <w:tcPr>
            <w:tcW w:type="dxa" w:w="21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20"/>
                <w:szCs w:val="20"/>
              </w:rPr>
              <w:t xml:space="preserve">300</w:t>
            </w:r>
          </w:p>
        </w:tc>
        <w:tc>
          <w:tcPr>
            <w:tcW w:type="dxa" w:w="21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7B2FFF"/>
                <w:sz w:val="20"/>
                <w:szCs w:val="20"/>
              </w:rPr>
              <w:t xml:space="preserve">2,500+</w:t>
            </w:r>
          </w:p>
        </w:tc>
      </w:tr>
      <w:tr>
        <w:tc>
          <w:tcPr>
            <w:tcW w:type="dxa" w:w="3000"/>
            <w:tcBorders>
              <w:top w:val="single" w:color="E2E8F0" w:sz="1"/>
              <w:left w:val="single" w:color="E2E8F0" w:sz="1"/>
              <w:bottom w:val="single" w:color="E2E8F0" w:sz="1"/>
              <w:right w:val="single" w:color="E2E8F0" w:sz="1"/>
            </w:tcBorders>
            <w:shd w:fill="F4F6FB" w:val="clear"/>
            <w:tcMar>
              <w:top w:type="dxa" w:w="80"/>
              <w:left w:type="dxa" w:w="120"/>
              <w:bottom w:type="dxa" w:w="80"/>
              <w:right w:type="dxa" w:w="80"/>
            </w:tcMar>
          </w:tcPr>
          <w:p>
            <w:r>
              <w:rPr>
                <w:rFonts w:ascii="Arial" w:cs="Arial" w:eastAsia="Arial" w:hAnsi="Arial"/>
                <w:b/>
                <w:bCs/>
                <w:color w:val="1A202C"/>
                <w:sz w:val="20"/>
                <w:szCs w:val="20"/>
              </w:rPr>
              <w:t xml:space="preserve">Registered Users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20"/>
                <w:szCs w:val="20"/>
              </w:rPr>
              <w:t xml:space="preserve">10K</w:t>
            </w:r>
          </w:p>
        </w:tc>
        <w:tc>
          <w:tcPr>
            <w:tcW w:type="dxa" w:w="21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20"/>
                <w:szCs w:val="20"/>
              </w:rPr>
              <w:t xml:space="preserve">100K</w:t>
            </w:r>
          </w:p>
        </w:tc>
        <w:tc>
          <w:tcPr>
            <w:tcW w:type="dxa" w:w="21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7B2FFF"/>
                <w:sz w:val="20"/>
                <w:szCs w:val="20"/>
              </w:rPr>
              <w:t xml:space="preserve">2M+</w:t>
            </w:r>
          </w:p>
        </w:tc>
      </w:tr>
      <w:tr>
        <w:tc>
          <w:tcPr>
            <w:tcW w:type="dxa" w:w="3000"/>
            <w:tcBorders>
              <w:top w:val="single" w:color="E2E8F0" w:sz="1"/>
              <w:left w:val="single" w:color="E2E8F0" w:sz="1"/>
              <w:bottom w:val="single" w:color="E2E8F0" w:sz="1"/>
              <w:right w:val="single" w:color="E2E8F0" w:sz="1"/>
            </w:tcBorders>
            <w:shd w:fill="F4F6FB" w:val="clear"/>
            <w:tcMar>
              <w:top w:type="dxa" w:w="80"/>
              <w:left w:type="dxa" w:w="120"/>
              <w:bottom w:type="dxa" w:w="80"/>
              <w:right w:type="dxa" w:w="80"/>
            </w:tcMar>
          </w:tcPr>
          <w:p>
            <w:r>
              <w:rPr>
                <w:rFonts w:ascii="Arial" w:cs="Arial" w:eastAsia="Arial" w:hAnsi="Arial"/>
                <w:b/>
                <w:bCs/>
                <w:color w:val="1A202C"/>
                <w:sz w:val="20"/>
                <w:szCs w:val="20"/>
              </w:rPr>
              <w:t xml:space="preserve">Pro Subscribers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20"/>
                <w:szCs w:val="20"/>
              </w:rPr>
              <w:t xml:space="preserve">500</w:t>
            </w:r>
          </w:p>
        </w:tc>
        <w:tc>
          <w:tcPr>
            <w:tcW w:type="dxa" w:w="21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20"/>
                <w:szCs w:val="20"/>
              </w:rPr>
              <w:t xml:space="preserve">5,000</w:t>
            </w:r>
          </w:p>
        </w:tc>
        <w:tc>
          <w:tcPr>
            <w:tcW w:type="dxa" w:w="21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7B2FFF"/>
                <w:sz w:val="20"/>
                <w:szCs w:val="20"/>
              </w:rPr>
              <w:t xml:space="preserve">50,000+</w:t>
            </w:r>
          </w:p>
        </w:tc>
      </w:tr>
      <w:tr>
        <w:tc>
          <w:tcPr>
            <w:tcW w:type="dxa" w:w="3000"/>
            <w:tcBorders>
              <w:top w:val="single" w:color="E2E8F0" w:sz="1"/>
              <w:left w:val="single" w:color="E2E8F0" w:sz="1"/>
              <w:bottom w:val="single" w:color="E2E8F0" w:sz="1"/>
              <w:right w:val="single" w:color="E2E8F0" w:sz="1"/>
            </w:tcBorders>
            <w:shd w:fill="F4F6FB" w:val="clear"/>
            <w:tcMar>
              <w:top w:type="dxa" w:w="80"/>
              <w:left w:type="dxa" w:w="120"/>
              <w:bottom w:type="dxa" w:w="80"/>
              <w:right w:type="dxa" w:w="80"/>
            </w:tcMar>
          </w:tcPr>
          <w:p>
            <w:r>
              <w:rPr>
                <w:rFonts w:ascii="Arial" w:cs="Arial" w:eastAsia="Arial" w:hAnsi="Arial"/>
                <w:b/>
                <w:bCs/>
                <w:color w:val="1A202C"/>
                <w:sz w:val="20"/>
                <w:szCs w:val="20"/>
              </w:rPr>
              <w:t xml:space="preserve">Marketplace GMV</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20"/>
                <w:szCs w:val="20"/>
              </w:rPr>
              <w:t xml:space="preserve">$0</w:t>
            </w:r>
          </w:p>
        </w:tc>
        <w:tc>
          <w:tcPr>
            <w:tcW w:type="dxa" w:w="21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20"/>
                <w:szCs w:val="20"/>
              </w:rPr>
              <w:t xml:space="preserve">$500K/mo</w:t>
            </w:r>
          </w:p>
        </w:tc>
        <w:tc>
          <w:tcPr>
            <w:tcW w:type="dxa" w:w="21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7B2FFF"/>
                <w:sz w:val="20"/>
                <w:szCs w:val="20"/>
              </w:rPr>
              <w:t xml:space="preserve">$30M/mo</w:t>
            </w:r>
          </w:p>
        </w:tc>
      </w:tr>
      <w:tr>
        <w:tc>
          <w:tcPr>
            <w:tcW w:type="dxa" w:w="3000"/>
            <w:tcBorders>
              <w:top w:val="single" w:color="E2E8F0" w:sz="1"/>
              <w:left w:val="single" w:color="E2E8F0" w:sz="1"/>
              <w:bottom w:val="single" w:color="E2E8F0" w:sz="1"/>
              <w:right w:val="single" w:color="E2E8F0" w:sz="1"/>
            </w:tcBorders>
            <w:shd w:fill="F4F6FB" w:val="clear"/>
            <w:tcMar>
              <w:top w:type="dxa" w:w="80"/>
              <w:left w:type="dxa" w:w="120"/>
              <w:bottom w:type="dxa" w:w="80"/>
              <w:right w:type="dxa" w:w="80"/>
            </w:tcMar>
          </w:tcPr>
          <w:p>
            <w:r>
              <w:rPr>
                <w:rFonts w:ascii="Arial" w:cs="Arial" w:eastAsia="Arial" w:hAnsi="Arial"/>
                <w:b/>
                <w:bCs/>
                <w:color w:val="1A202C"/>
                <w:sz w:val="20"/>
                <w:szCs w:val="20"/>
              </w:rPr>
              <w:t xml:space="preserve">MRR</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20"/>
                <w:szCs w:val="20"/>
              </w:rPr>
              <w:t xml:space="preserve">$15K</w:t>
            </w:r>
          </w:p>
        </w:tc>
        <w:tc>
          <w:tcPr>
            <w:tcW w:type="dxa" w:w="21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20"/>
                <w:szCs w:val="20"/>
              </w:rPr>
              <w:t xml:space="preserve">$250K</w:t>
            </w:r>
          </w:p>
        </w:tc>
        <w:tc>
          <w:tcPr>
            <w:tcW w:type="dxa" w:w="21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7B2FFF"/>
                <w:sz w:val="20"/>
                <w:szCs w:val="20"/>
              </w:rPr>
              <w:t xml:space="preserve">$10M</w:t>
            </w:r>
          </w:p>
        </w:tc>
      </w:tr>
      <w:tr>
        <w:tc>
          <w:tcPr>
            <w:tcW w:type="dxa" w:w="3000"/>
            <w:tcBorders>
              <w:top w:val="single" w:color="E2E8F0" w:sz="1"/>
              <w:left w:val="single" w:color="E2E8F0" w:sz="1"/>
              <w:bottom w:val="single" w:color="E2E8F0" w:sz="1"/>
              <w:right w:val="single" w:color="E2E8F0" w:sz="1"/>
            </w:tcBorders>
            <w:shd w:fill="F4F6FB" w:val="clear"/>
            <w:tcMar>
              <w:top w:type="dxa" w:w="80"/>
              <w:left w:type="dxa" w:w="120"/>
              <w:bottom w:type="dxa" w:w="80"/>
              <w:right w:type="dxa" w:w="80"/>
            </w:tcMar>
          </w:tcPr>
          <w:p>
            <w:r>
              <w:rPr>
                <w:rFonts w:ascii="Arial" w:cs="Arial" w:eastAsia="Arial" w:hAnsi="Arial"/>
                <w:b/>
                <w:bCs/>
                <w:color w:val="1A202C"/>
                <w:sz w:val="20"/>
                <w:szCs w:val="20"/>
              </w:rPr>
              <w:t xml:space="preserve">NPS Score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20"/>
                <w:szCs w:val="20"/>
              </w:rPr>
              <w:t xml:space="preserve">&gt;50</w:t>
            </w:r>
          </w:p>
        </w:tc>
        <w:tc>
          <w:tcPr>
            <w:tcW w:type="dxa" w:w="21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A202C"/>
                <w:sz w:val="20"/>
                <w:szCs w:val="20"/>
              </w:rPr>
              <w:t xml:space="preserve">&gt;60</w:t>
            </w:r>
          </w:p>
        </w:tc>
        <w:tc>
          <w:tcPr>
            <w:tcW w:type="dxa" w:w="21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7B2FFF"/>
                <w:sz w:val="20"/>
                <w:szCs w:val="20"/>
              </w:rPr>
              <w:t xml:space="preserve">&gt;70</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B2FFF" w:sz="12"/>
              <w:bottom w:val="none" w:color="FFFFFF" w:sz="0"/>
              <w:right w:val="none" w:color="FFFFFF" w:sz="0"/>
            </w:tcBorders>
            <w:shd w:fill="EFF6FF" w:val="clear"/>
            <w:tcMar>
              <w:top w:type="dxa" w:w="120"/>
              <w:left w:type="dxa" w:w="240"/>
              <w:bottom w:type="dxa" w:w="120"/>
              <w:right w:type="dxa" w:w="240"/>
            </w:tcMar>
          </w:tcPr>
          <w:p>
            <w:r>
              <w:rPr>
                <w:rFonts w:ascii="Arial" w:cs="Arial" w:eastAsia="Arial" w:hAnsi="Arial"/>
                <w:i/>
                <w:iCs/>
                <w:color w:val="1A202C"/>
                <w:sz w:val="22"/>
                <w:szCs w:val="22"/>
              </w:rPr>
              <w:t xml:space="preserve">THE BOTTOM LINE: RoboNexus is a once-in-a-decade opportunity to define a new consumer technology category at its inception. The platform that earns consumer and enterprise trust in robotics in the next 18 months will be extraordinarily difficult to displace for the next 15 years. We build now — or someone else does.</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0A0F1E" w:val="clear"/>
            <w:tcMar>
              <w:top w:type="dxa" w:w="120"/>
              <w:left w:type="dxa" w:w="160"/>
              <w:bottom w:type="dxa" w:w="120"/>
              <w:right w:type="dxa" w:w="160"/>
            </w:tcMar>
            <w:vAlign w:val="center"/>
          </w:tcPr>
          <w:p>
            <w:pPr>
              <w:jc w:val="center"/>
            </w:pPr>
            <w:r>
              <w:rPr>
                <w:rFonts w:ascii="Arial" w:cs="Arial" w:eastAsia="Arial" w:hAnsi="Arial"/>
                <w:b/>
                <w:bCs/>
                <w:color w:val="00C2FF"/>
                <w:sz w:val="28"/>
                <w:szCs w:val="28"/>
              </w:rPr>
              <w:t xml:space="preserve">A1</w:t>
            </w:r>
          </w:p>
        </w:tc>
        <w:tc>
          <w:tcPr>
            <w:tcW w:type="dxa" w:w="8560"/>
            <w:tcBorders>
              <w:top w:val="none" w:color="FFFFFF" w:sz="0"/>
              <w:left w:val="none" w:color="FFFFFF" w:sz="0"/>
              <w:bottom w:val="none" w:color="FFFFFF" w:sz="0"/>
              <w:right w:val="none" w:color="FFFFFF" w:sz="0"/>
            </w:tcBorders>
            <w:shd w:fill="F4F6FB" w:val="clear"/>
            <w:tcMar>
              <w:top w:type="dxa" w:w="120"/>
              <w:left w:type="dxa" w:w="200"/>
              <w:bottom w:type="dxa" w:w="120"/>
              <w:right w:type="dxa" w:w="160"/>
            </w:tcMar>
            <w:vAlign w:val="center"/>
          </w:tcPr>
          <w:p>
            <w:r>
              <w:rPr>
                <w:rFonts w:ascii="Arial" w:cs="Arial" w:eastAsia="Arial" w:hAnsi="Arial"/>
                <w:b/>
                <w:bCs/>
                <w:color w:val="0A0F1E"/>
                <w:spacing w:val="40"/>
                <w:sz w:val="28"/>
                <w:szCs w:val="28"/>
              </w:rPr>
              <w:t xml:space="preserve">APPENDIX: CLAUDE CODE BUILD SPECIFICATIONS</w:t>
            </w:r>
          </w:p>
        </w:tc>
      </w:tr>
    </w:tbl>
    <w:p>
      <w:pPr>
        <w:spacing w:after="0" w:before="120"/>
      </w:pPr>
      <w:r>
        <w:t xml:space="preserve"/>
      </w:r>
    </w:p>
    <w:p>
      <w:pPr>
        <w:pStyle w:val="Heading2"/>
        <w:spacing w:after="160" w:before="360"/>
      </w:pPr>
      <w:r>
        <w:rPr>
          <w:rFonts w:ascii="Arial" w:cs="Arial" w:eastAsia="Arial" w:hAnsi="Arial"/>
          <w:b/>
          <w:bCs/>
          <w:color w:val="0A0F1E"/>
          <w:sz w:val="30"/>
          <w:szCs w:val="30"/>
        </w:rPr>
        <w:t xml:space="preserve">Immediate Build Instructions for Claude Code</w:t>
      </w:r>
    </w:p>
    <w:p>
      <w:pPr>
        <w:spacing w:after="80" w:before="80"/>
      </w:pPr>
      <w:r>
        <w:rPr>
          <w:rFonts w:ascii="Arial" w:cs="Arial" w:eastAsia="Arial" w:hAnsi="Arial"/>
          <w:color w:val="1A202C"/>
          <w:sz w:val="22"/>
          <w:szCs w:val="22"/>
        </w:rPr>
        <w:t xml:space="preserve">Use the following specifications to begin implementation immediately in Claude Code:</w:t>
      </w:r>
    </w:p>
    <w:p>
      <w:pPr>
        <w:spacing w:after="0" w:before="120"/>
      </w:pPr>
      <w:r>
        <w:t xml:space="preserve"/>
      </w:r>
    </w:p>
    <w:p>
      <w:pPr>
        <w:pStyle w:val="Heading3"/>
        <w:spacing w:after="120" w:before="280"/>
      </w:pPr>
      <w:r>
        <w:rPr>
          <w:rFonts w:ascii="Arial" w:cs="Arial" w:eastAsia="Arial" w:hAnsi="Arial"/>
          <w:b/>
          <w:bCs/>
          <w:color w:val="7B2FFF"/>
          <w:sz w:val="26"/>
          <w:szCs w:val="26"/>
        </w:rPr>
        <w:t xml:space="preserve">Repository Structure</w:t>
      </w:r>
    </w:p>
    <w:p>
      <w:pPr>
        <w:spacing w:after="80" w:before="80"/>
      </w:pPr>
      <w:r>
        <w:rPr>
          <w:rFonts w:ascii="Arial" w:cs="Arial" w:eastAsia="Arial" w:hAnsi="Arial"/>
          <w:color w:val="1A202C"/>
          <w:sz w:val="22"/>
          <w:szCs w:val="22"/>
        </w:rPr>
        <w:t xml:space="preserve">monorepo/</w:t>
      </w:r>
    </w:p>
    <w:p>
      <w:pPr>
        <w:spacing w:after="80" w:before="80"/>
      </w:pPr>
      <w:r>
        <w:rPr>
          <w:rFonts w:ascii="Arial" w:cs="Arial" w:eastAsia="Arial" w:hAnsi="Arial"/>
          <w:color w:val="1A202C"/>
          <w:sz w:val="22"/>
          <w:szCs w:val="22"/>
        </w:rPr>
        <w:t xml:space="preserve">  apps/</w:t>
      </w:r>
    </w:p>
    <w:p>
      <w:pPr>
        <w:spacing w:after="80" w:before="80"/>
      </w:pPr>
      <w:r>
        <w:rPr>
          <w:rFonts w:ascii="Arial" w:cs="Arial" w:eastAsia="Arial" w:hAnsi="Arial"/>
          <w:color w:val="1A202C"/>
          <w:sz w:val="22"/>
          <w:szCs w:val="22"/>
        </w:rPr>
        <w:t xml:space="preserve">    web/               — Next.js 15 frontend</w:t>
      </w:r>
    </w:p>
    <w:p>
      <w:pPr>
        <w:spacing w:after="80" w:before="80"/>
      </w:pPr>
      <w:r>
        <w:rPr>
          <w:rFonts w:ascii="Arial" w:cs="Arial" w:eastAsia="Arial" w:hAnsi="Arial"/>
          <w:color w:val="1A202C"/>
          <w:sz w:val="22"/>
          <w:szCs w:val="22"/>
        </w:rPr>
        <w:t xml:space="preserve">    api/               — Fastify Node.js API</w:t>
      </w:r>
    </w:p>
    <w:p>
      <w:pPr>
        <w:spacing w:after="80" w:before="80"/>
      </w:pPr>
      <w:r>
        <w:rPr>
          <w:rFonts w:ascii="Arial" w:cs="Arial" w:eastAsia="Arial" w:hAnsi="Arial"/>
          <w:color w:val="1A202C"/>
          <w:sz w:val="22"/>
          <w:szCs w:val="22"/>
        </w:rPr>
        <w:t xml:space="preserve">    ai-service/        — Python FastAPI for Claude integration</w:t>
      </w:r>
    </w:p>
    <w:p>
      <w:pPr>
        <w:spacing w:after="80" w:before="80"/>
      </w:pPr>
      <w:r>
        <w:rPr>
          <w:rFonts w:ascii="Arial" w:cs="Arial" w:eastAsia="Arial" w:hAnsi="Arial"/>
          <w:color w:val="1A202C"/>
          <w:sz w:val="22"/>
          <w:szCs w:val="22"/>
        </w:rPr>
        <w:t xml:space="preserve">    admin/             — Internal admin dashboard</w:t>
      </w:r>
    </w:p>
    <w:p>
      <w:pPr>
        <w:spacing w:after="80" w:before="80"/>
      </w:pPr>
      <w:r>
        <w:rPr>
          <w:rFonts w:ascii="Arial" w:cs="Arial" w:eastAsia="Arial" w:hAnsi="Arial"/>
          <w:color w:val="1A202C"/>
          <w:sz w:val="22"/>
          <w:szCs w:val="22"/>
        </w:rPr>
        <w:t xml:space="preserve">  packages/</w:t>
      </w:r>
    </w:p>
    <w:p>
      <w:pPr>
        <w:spacing w:after="80" w:before="80"/>
      </w:pPr>
      <w:r>
        <w:rPr>
          <w:rFonts w:ascii="Arial" w:cs="Arial" w:eastAsia="Arial" w:hAnsi="Arial"/>
          <w:color w:val="1A202C"/>
          <w:sz w:val="22"/>
          <w:szCs w:val="22"/>
        </w:rPr>
        <w:t xml:space="preserve">    db/                — Prisma schema + migrations (PostgreSQL)</w:t>
      </w:r>
    </w:p>
    <w:p>
      <w:pPr>
        <w:spacing w:after="80" w:before="80"/>
      </w:pPr>
      <w:r>
        <w:rPr>
          <w:rFonts w:ascii="Arial" w:cs="Arial" w:eastAsia="Arial" w:hAnsi="Arial"/>
          <w:color w:val="1A202C"/>
          <w:sz w:val="22"/>
          <w:szCs w:val="22"/>
        </w:rPr>
        <w:t xml:space="preserve">    ui/                — Shared component library (Radix + Tailwind)</w:t>
      </w:r>
    </w:p>
    <w:p>
      <w:pPr>
        <w:spacing w:after="80" w:before="80"/>
      </w:pPr>
      <w:r>
        <w:rPr>
          <w:rFonts w:ascii="Arial" w:cs="Arial" w:eastAsia="Arial" w:hAnsi="Arial"/>
          <w:color w:val="1A202C"/>
          <w:sz w:val="22"/>
          <w:szCs w:val="22"/>
        </w:rPr>
        <w:t xml:space="preserve">    types/             — Shared TypeScript types</w:t>
      </w:r>
    </w:p>
    <w:p>
      <w:pPr>
        <w:spacing w:after="80" w:before="80"/>
      </w:pPr>
      <w:r>
        <w:rPr>
          <w:rFonts w:ascii="Arial" w:cs="Arial" w:eastAsia="Arial" w:hAnsi="Arial"/>
          <w:color w:val="1A202C"/>
          <w:sz w:val="22"/>
          <w:szCs w:val="22"/>
        </w:rPr>
        <w:t xml:space="preserve">    config/            — ESLint, TypeScript, Tailwind shared configs</w:t>
      </w:r>
    </w:p>
    <w:p>
      <w:pPr>
        <w:spacing w:after="80" w:before="80"/>
      </w:pPr>
      <w:r>
        <w:rPr>
          <w:rFonts w:ascii="Arial" w:cs="Arial" w:eastAsia="Arial" w:hAnsi="Arial"/>
          <w:color w:val="1A202C"/>
          <w:sz w:val="22"/>
          <w:szCs w:val="22"/>
        </w:rPr>
        <w:t xml:space="preserve">  infrastructure/</w:t>
      </w:r>
    </w:p>
    <w:p>
      <w:pPr>
        <w:spacing w:after="80" w:before="80"/>
      </w:pPr>
      <w:r>
        <w:rPr>
          <w:rFonts w:ascii="Arial" w:cs="Arial" w:eastAsia="Arial" w:hAnsi="Arial"/>
          <w:color w:val="1A202C"/>
          <w:sz w:val="22"/>
          <w:szCs w:val="22"/>
        </w:rPr>
        <w:t xml:space="preserve">    terraform/         — AWS infrastructure as code</w:t>
      </w:r>
    </w:p>
    <w:p>
      <w:pPr>
        <w:spacing w:after="80" w:before="80"/>
      </w:pPr>
      <w:r>
        <w:rPr>
          <w:rFonts w:ascii="Arial" w:cs="Arial" w:eastAsia="Arial" w:hAnsi="Arial"/>
          <w:color w:val="1A202C"/>
          <w:sz w:val="22"/>
          <w:szCs w:val="22"/>
        </w:rPr>
        <w:t xml:space="preserve">    docker/            — Container definitions</w:t>
      </w:r>
    </w:p>
    <w:p>
      <w:pPr>
        <w:spacing w:after="0" w:before="120"/>
      </w:pPr>
      <w:r>
        <w:t xml:space="preserve"/>
      </w:r>
    </w:p>
    <w:p>
      <w:pPr>
        <w:pStyle w:val="Heading3"/>
        <w:spacing w:after="120" w:before="280"/>
      </w:pPr>
      <w:r>
        <w:rPr>
          <w:rFonts w:ascii="Arial" w:cs="Arial" w:eastAsia="Arial" w:hAnsi="Arial"/>
          <w:b/>
          <w:bCs/>
          <w:color w:val="7B2FFF"/>
          <w:sz w:val="26"/>
          <w:szCs w:val="26"/>
        </w:rPr>
        <w:t xml:space="preserve">Database Schema: Core Tables</w:t>
      </w:r>
    </w:p>
    <w:p>
      <w:pPr>
        <w:pStyle w:val="ListParagraph"/>
        <w:numPr>
          <w:ilvl w:val="0"/>
          <w:numId w:val="2"/>
        </w:numPr>
        <w:spacing w:after="60" w:before="60"/>
      </w:pPr>
      <w:r>
        <w:rPr>
          <w:rFonts w:ascii="Arial" w:cs="Arial" w:eastAsia="Arial" w:hAnsi="Arial"/>
          <w:color w:val="1A202C"/>
          <w:sz w:val="22"/>
          <w:szCs w:val="22"/>
        </w:rPr>
        <w:t xml:space="preserve">robots (id, slug, name, manufacturer_id, category_id, specs JSONB, description, images, created_at)</w:t>
      </w:r>
    </w:p>
    <w:p>
      <w:pPr>
        <w:pStyle w:val="ListParagraph"/>
        <w:numPr>
          <w:ilvl w:val="0"/>
          <w:numId w:val="2"/>
        </w:numPr>
        <w:spacing w:after="60" w:before="60"/>
      </w:pPr>
      <w:r>
        <w:rPr>
          <w:rFonts w:ascii="Arial" w:cs="Arial" w:eastAsia="Arial" w:hAnsi="Arial"/>
          <w:color w:val="1A202C"/>
          <w:sz w:val="22"/>
          <w:szCs w:val="22"/>
        </w:rPr>
        <w:t xml:space="preserve">manufacturers (id, slug, name, country, founded_year, website, verified)</w:t>
      </w:r>
    </w:p>
    <w:p>
      <w:pPr>
        <w:pStyle w:val="ListParagraph"/>
        <w:numPr>
          <w:ilvl w:val="0"/>
          <w:numId w:val="2"/>
        </w:numPr>
        <w:spacing w:after="60" w:before="60"/>
      </w:pPr>
      <w:r>
        <w:rPr>
          <w:rFonts w:ascii="Arial" w:cs="Arial" w:eastAsia="Arial" w:hAnsi="Arial"/>
          <w:color w:val="1A202C"/>
          <w:sz w:val="22"/>
          <w:szCs w:val="22"/>
        </w:rPr>
        <w:t xml:space="preserve">robot_categories (id, slug, name, parent_id, use_case_tags, icon)</w:t>
      </w:r>
    </w:p>
    <w:p>
      <w:pPr>
        <w:pStyle w:val="ListParagraph"/>
        <w:numPr>
          <w:ilvl w:val="0"/>
          <w:numId w:val="2"/>
        </w:numPr>
        <w:spacing w:after="60" w:before="60"/>
      </w:pPr>
      <w:r>
        <w:rPr>
          <w:rFonts w:ascii="Arial" w:cs="Arial" w:eastAsia="Arial" w:hAnsi="Arial"/>
          <w:color w:val="1A202C"/>
          <w:sz w:val="22"/>
          <w:szCs w:val="22"/>
        </w:rPr>
        <w:t xml:space="preserve">reviews (id, robot_id, reviewer_id, type [expert|community], robo_score, sub_scores JSONB, body, published_at)</w:t>
      </w:r>
    </w:p>
    <w:p>
      <w:pPr>
        <w:pStyle w:val="ListParagraph"/>
        <w:numPr>
          <w:ilvl w:val="0"/>
          <w:numId w:val="2"/>
        </w:numPr>
        <w:spacing w:after="60" w:before="60"/>
      </w:pPr>
      <w:r>
        <w:rPr>
          <w:rFonts w:ascii="Arial" w:cs="Arial" w:eastAsia="Arial" w:hAnsi="Arial"/>
          <w:color w:val="1A202C"/>
          <w:sz w:val="22"/>
          <w:szCs w:val="22"/>
        </w:rPr>
        <w:t xml:space="preserve">marketplace_listings (id, robot_id, seller_id, condition, price, quantity, listing_type [new|used|refurb], status)</w:t>
      </w:r>
    </w:p>
    <w:p>
      <w:pPr>
        <w:pStyle w:val="ListParagraph"/>
        <w:numPr>
          <w:ilvl w:val="0"/>
          <w:numId w:val="2"/>
        </w:numPr>
        <w:spacing w:after="60" w:before="60"/>
      </w:pPr>
      <w:r>
        <w:rPr>
          <w:rFonts w:ascii="Arial" w:cs="Arial" w:eastAsia="Arial" w:hAnsi="Arial"/>
          <w:color w:val="1A202C"/>
          <w:sz w:val="22"/>
          <w:szCs w:val="22"/>
        </w:rPr>
        <w:t xml:space="preserve">users (id, email, name, persona_type, preferences JSONB, subscription_tier, created_at)</w:t>
      </w:r>
    </w:p>
    <w:p>
      <w:pPr>
        <w:pStyle w:val="ListParagraph"/>
        <w:numPr>
          <w:ilvl w:val="0"/>
          <w:numId w:val="2"/>
        </w:numPr>
        <w:spacing w:after="60" w:before="60"/>
      </w:pPr>
      <w:r>
        <w:rPr>
          <w:rFonts w:ascii="Arial" w:cs="Arial" w:eastAsia="Arial" w:hAnsi="Arial"/>
          <w:color w:val="1A202C"/>
          <w:sz w:val="22"/>
          <w:szCs w:val="22"/>
        </w:rPr>
        <w:t xml:space="preserve">advisor_conversations (id, user_id, messages JSONB, final_recommendations JSONB, created_at)</w:t>
      </w:r>
    </w:p>
    <w:p>
      <w:pPr>
        <w:pStyle w:val="ListParagraph"/>
        <w:numPr>
          <w:ilvl w:val="0"/>
          <w:numId w:val="2"/>
        </w:numPr>
        <w:spacing w:after="60" w:before="60"/>
      </w:pPr>
      <w:r>
        <w:rPr>
          <w:rFonts w:ascii="Arial" w:cs="Arial" w:eastAsia="Arial" w:hAnsi="Arial"/>
          <w:color w:val="1A202C"/>
          <w:sz w:val="22"/>
          <w:szCs w:val="22"/>
        </w:rPr>
        <w:t xml:space="preserve">price_history (id, robot_id, retailer_id, price, currency, recorded_at)</w:t>
      </w:r>
    </w:p>
    <w:p>
      <w:pPr>
        <w:spacing w:after="0" w:before="120"/>
      </w:pPr>
      <w:r>
        <w:t xml:space="preserve"/>
      </w:r>
    </w:p>
    <w:p>
      <w:pPr>
        <w:pStyle w:val="Heading3"/>
        <w:spacing w:after="120" w:before="280"/>
      </w:pPr>
      <w:r>
        <w:rPr>
          <w:rFonts w:ascii="Arial" w:cs="Arial" w:eastAsia="Arial" w:hAnsi="Arial"/>
          <w:b/>
          <w:bCs/>
          <w:color w:val="7B2FFF"/>
          <w:sz w:val="26"/>
          <w:szCs w:val="26"/>
        </w:rPr>
        <w:t xml:space="preserve">Claude Integration — Advisor System Prompt</w:t>
      </w:r>
    </w:p>
    <w:p>
      <w:pPr>
        <w:spacing w:after="80" w:before="80"/>
      </w:pPr>
      <w:r>
        <w:rPr>
          <w:rFonts w:ascii="Arial" w:cs="Arial" w:eastAsia="Arial" w:hAnsi="Arial"/>
          <w:color w:val="1A202C"/>
          <w:sz w:val="22"/>
          <w:szCs w:val="22"/>
        </w:rPr>
        <w:t xml:space="preserve">You are RoboNexus AI, the world's most knowledgeable robotics purchase advisor. You have access to a comprehensive database of 25,000+ robots across all categories. Your job is to help users find the perfect robotic solution for their specific needs.</w:t>
      </w:r>
    </w:p>
    <w:p>
      <w:pPr>
        <w:spacing w:after="80" w:before="80"/>
      </w:pPr>
      <w:r>
        <w:rPr>
          <w:rFonts w:ascii="Arial" w:cs="Arial" w:eastAsia="Arial" w:hAnsi="Arial"/>
          <w:color w:val="1A202C"/>
          <w:sz w:val="22"/>
          <w:szCs w:val="22"/>
        </w:rPr>
        <w:t xml:space="preserve">Always: (1) Ask clarifying questions if budget or use case is unclear, (2) Return 3 specific robot recommendations with model names and reasons, (3) Explain the RoboScore for each recommendation, (4) Flag any important caveats (skill required, connectivity needed, space requirements), (5) Offer to help compare any two robots in detail.</w:t>
      </w:r>
    </w:p>
    <w:p>
      <w:pPr>
        <w:spacing w:after="80" w:before="80"/>
      </w:pPr>
      <w:r>
        <w:rPr>
          <w:rFonts w:ascii="Arial" w:cs="Arial" w:eastAsia="Arial" w:hAnsi="Arial"/>
          <w:color w:val="1A202C"/>
          <w:sz w:val="22"/>
          <w:szCs w:val="22"/>
        </w:rPr>
        <w:t xml:space="preserve">Never: recommend robots you cannot verify exist in the database, make up specifications, or recommend based on manufacturer payment rather than fit.</w:t>
      </w:r>
    </w:p>
    <w:p>
      <w:pPr>
        <w:spacing w:after="0" w:before="120"/>
      </w:pPr>
      <w:r>
        <w:t xml:space="preserve"/>
      </w:r>
    </w:p>
    <w:p>
      <w:pPr>
        <w:pStyle w:val="Heading3"/>
        <w:spacing w:after="120" w:before="280"/>
      </w:pPr>
      <w:r>
        <w:rPr>
          <w:rFonts w:ascii="Arial" w:cs="Arial" w:eastAsia="Arial" w:hAnsi="Arial"/>
          <w:b/>
          <w:bCs/>
          <w:color w:val="7B2FFF"/>
          <w:sz w:val="26"/>
          <w:szCs w:val="26"/>
        </w:rPr>
        <w:t xml:space="preserve">Phase 1 Claude Code Prompts — Run These First</w:t>
      </w:r>
    </w:p>
    <w:p>
      <w:pPr>
        <w:pStyle w:val="ListParagraph"/>
        <w:numPr>
          <w:ilvl w:val="0"/>
          <w:numId w:val="3"/>
        </w:numPr>
        <w:spacing w:after="60" w:before="60"/>
      </w:pPr>
      <w:r>
        <w:rPr>
          <w:rFonts w:ascii="Arial" w:cs="Arial" w:eastAsia="Arial" w:hAnsi="Arial"/>
          <w:color w:val="1A202C"/>
          <w:sz w:val="22"/>
          <w:szCs w:val="22"/>
        </w:rPr>
        <w:t xml:space="preserve">Set up Next.js 15 monorepo with Turbo, TypeScript strict, Tailwind, Radix UI, and Zustand. Include Playwright for E2E tests and Vitest for unit tests.</w:t>
      </w:r>
    </w:p>
    <w:p>
      <w:pPr>
        <w:pStyle w:val="ListParagraph"/>
        <w:numPr>
          <w:ilvl w:val="0"/>
          <w:numId w:val="3"/>
        </w:numPr>
        <w:spacing w:after="60" w:before="60"/>
      </w:pPr>
      <w:r>
        <w:rPr>
          <w:rFonts w:ascii="Arial" w:cs="Arial" w:eastAsia="Arial" w:hAnsi="Arial"/>
          <w:color w:val="1A202C"/>
          <w:sz w:val="22"/>
          <w:szCs w:val="22"/>
        </w:rPr>
        <w:t xml:space="preserve">Create Prisma schema for all core tables listed above. Include seed data for 10 sample robots across 5 categories with full specs.</w:t>
      </w:r>
    </w:p>
    <w:p>
      <w:pPr>
        <w:pStyle w:val="ListParagraph"/>
        <w:numPr>
          <w:ilvl w:val="0"/>
          <w:numId w:val="3"/>
        </w:numPr>
        <w:spacing w:after="60" w:before="60"/>
      </w:pPr>
      <w:r>
        <w:rPr>
          <w:rFonts w:ascii="Arial" w:cs="Arial" w:eastAsia="Arial" w:hAnsi="Arial"/>
          <w:color w:val="1A202C"/>
          <w:sz w:val="22"/>
          <w:szCs w:val="22"/>
        </w:rPr>
        <w:t xml:space="preserve">Build the Robot Detail Page component — hero section with main image, RoboScore visual breakdown, tabbed content (Overview, Specs, Reviews, Price History), and AI Advisor CTA panel.</w:t>
      </w:r>
    </w:p>
    <w:p>
      <w:pPr>
        <w:pStyle w:val="ListParagraph"/>
        <w:numPr>
          <w:ilvl w:val="0"/>
          <w:numId w:val="3"/>
        </w:numPr>
        <w:spacing w:after="60" w:before="60"/>
      </w:pPr>
      <w:r>
        <w:rPr>
          <w:rFonts w:ascii="Arial" w:cs="Arial" w:eastAsia="Arial" w:hAnsi="Arial"/>
          <w:color w:val="1A202C"/>
          <w:sz w:val="22"/>
          <w:szCs w:val="22"/>
        </w:rPr>
        <w:t xml:space="preserve">Build the AI Advisor chat interface — floating panel, streaming Claude responses, suggested question chips, conversation history, and recommendation card components.</w:t>
      </w:r>
    </w:p>
    <w:p>
      <w:pPr>
        <w:pStyle w:val="ListParagraph"/>
        <w:numPr>
          <w:ilvl w:val="0"/>
          <w:numId w:val="3"/>
        </w:numPr>
        <w:spacing w:after="60" w:before="60"/>
      </w:pPr>
      <w:r>
        <w:rPr>
          <w:rFonts w:ascii="Arial" w:cs="Arial" w:eastAsia="Arial" w:hAnsi="Arial"/>
          <w:color w:val="1A202C"/>
          <w:sz w:val="22"/>
          <w:szCs w:val="22"/>
        </w:rPr>
        <w:t xml:space="preserve">Create the search and browse system — Elasticsearch integration, faceted filters (category, price, brand, score), sort options, and results grid with quick-compare checkboxes.</w:t>
      </w:r>
    </w:p>
    <w:p>
      <w:pPr>
        <w:pStyle w:val="ListParagraph"/>
        <w:numPr>
          <w:ilvl w:val="0"/>
          <w:numId w:val="3"/>
        </w:numPr>
        <w:spacing w:after="60" w:before="60"/>
      </w:pPr>
      <w:r>
        <w:rPr>
          <w:rFonts w:ascii="Arial" w:cs="Arial" w:eastAsia="Arial" w:hAnsi="Arial"/>
          <w:color w:val="1A202C"/>
          <w:sz w:val="22"/>
          <w:szCs w:val="22"/>
        </w:rPr>
        <w:t xml:space="preserve">Build the Marketplace listing flow — seller form, condition grading wizard, photo upload with AI condition assessment, pricing guidance based on price history, and listing preview.</w:t>
      </w:r>
    </w:p>
    <w:p>
      <w:pPr>
        <w:pStyle w:val="ListParagraph"/>
        <w:numPr>
          <w:ilvl w:val="0"/>
          <w:numId w:val="3"/>
        </w:numPr>
        <w:spacing w:after="60" w:before="60"/>
      </w:pPr>
      <w:r>
        <w:rPr>
          <w:rFonts w:ascii="Arial" w:cs="Arial" w:eastAsia="Arial" w:hAnsi="Arial"/>
          <w:color w:val="1A202C"/>
          <w:sz w:val="22"/>
          <w:szCs w:val="22"/>
        </w:rPr>
        <w:t xml:space="preserve">Set up the data ingestion pipeline — scraper framework (Playwright + Cheerio), manufacturer API connector template, spec normalization pipeline, and admin review queue.</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1"/>
      </w:pBdr>
      <w:tabs>
        <w:tab w:val="right" w:pos="9360"/>
      </w:tabs>
    </w:pPr>
    <w:r>
      <w:rPr>
        <w:rFonts w:ascii="Arial" w:cs="Arial" w:eastAsia="Arial" w:hAnsi="Arial"/>
        <w:color w:val="64748B"/>
        <w:sz w:val="16"/>
        <w:szCs w:val="16"/>
      </w:rPr>
      <w:t xml:space="preserve">Confidential — For Founding Team Use Only</w:t>
    </w:r>
    <w:r>
      <w:rPr>
        <w:sz w:val="16"/>
        <w:szCs w:val="16"/>
      </w:rPr>
      <w:t xml:space="preserve">	</w:t>
    </w:r>
    <w:r>
      <w:rPr>
        <w:rFonts w:ascii="Arial" w:cs="Arial" w:eastAsia="Arial" w:hAnsi="Arial"/>
        <w:color w:val="64748B"/>
        <w:sz w:val="16"/>
        <w:szCs w:val="16"/>
      </w:rPr>
      <w:t xml:space="preserve">Pg.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2" w:space="1"/>
      </w:pBdr>
      <w:tabs>
        <w:tab w:val="right" w:pos="9360"/>
      </w:tabs>
    </w:pPr>
    <w:r>
      <w:rPr>
        <w:rFonts w:ascii="Arial" w:cs="Arial" w:eastAsia="Arial" w:hAnsi="Arial"/>
        <w:color w:val="64748B"/>
        <w:sz w:val="16"/>
        <w:szCs w:val="16"/>
      </w:rPr>
      <w:t xml:space="preserve">ROBONEXUS — PRODUCT REQUIREMENTS DOCUMENT  ·  CONFIDENTIAL</w:t>
    </w:r>
    <w:r>
      <w:rPr>
        <w:sz w:val="16"/>
        <w:szCs w:val="16"/>
      </w:rPr>
      <w:t xml:space="preserve">	</w:t>
    </w:r>
    <w:r>
      <w:rPr>
        <w:rFonts w:ascii="Arial" w:cs="Arial" w:eastAsia="Arial" w:hAnsi="Arial"/>
        <w:color w:val="64748B"/>
        <w:sz w:val="16"/>
        <w:szCs w:val="16"/>
      </w:rPr>
      <w:t xml:space="preserve">v1.0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A0F1E"/>
      <w:sz w:val="40"/>
      <w:szCs w:val="40"/>
    </w:rPr>
  </w:style>
  <w:style w:type="paragraph" w:styleId="Heading2">
    <w:name w:val="Heading 2"/>
    <w:basedOn w:val="Normal"/>
    <w:next w:val="Normal"/>
    <w:qFormat/>
    <w:pPr>
      <w:spacing w:after="160" w:before="360"/>
      <w:outlineLvl w:val="1"/>
    </w:pPr>
    <w:rPr>
      <w:rFonts w:ascii="Arial" w:cs="Arial" w:eastAsia="Arial" w:hAnsi="Arial"/>
      <w:b/>
      <w:bCs/>
      <w:color w:val="0A0F1E"/>
      <w:sz w:val="30"/>
      <w:szCs w:val="30"/>
    </w:rPr>
  </w:style>
  <w:style w:type="paragraph" w:styleId="Heading3">
    <w:name w:val="Heading 3"/>
    <w:basedOn w:val="Normal"/>
    <w:next w:val="Normal"/>
    <w:qFormat/>
    <w:pPr>
      <w:spacing w:after="120" w:before="280"/>
      <w:outlineLvl w:val="2"/>
    </w:pPr>
    <w:rPr>
      <w:rFonts w:ascii="Arial" w:cs="Arial" w:eastAsia="Arial" w:hAnsi="Arial"/>
      <w:b/>
      <w:bCs/>
      <w:color w:val="7B2FF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RoboNexus — Full Product Requirements Document v1.0</dc:title>
  <dc:creator>RoboNexus Founding Team</dc:creator>
  <dc:description>Comprehensive PRD, Strategy, and Build Specifications for the RoboNexus platform</dc:description>
  <cp:lastModifiedBy>Un-named</cp:lastModifiedBy>
  <cp:revision>1</cp:revision>
  <dcterms:created xsi:type="dcterms:W3CDTF">2026-03-21T04:30:22.626Z</dcterms:created>
  <dcterms:modified xsi:type="dcterms:W3CDTF">2026-03-21T04:30:22.627Z</dcterms:modified>
</cp:coreProperties>
</file>

<file path=docProps/custom.xml><?xml version="1.0" encoding="utf-8"?>
<Properties xmlns="http://schemas.openxmlformats.org/officeDocument/2006/custom-properties" xmlns:vt="http://schemas.openxmlformats.org/officeDocument/2006/docPropsVTypes"/>
</file>