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44"/>
          <w:szCs w:val="44"/>
        </w:rPr>
        <w:t xml:space="preserve">FinSight — Financial Evidence Engine</w:t>
      </w:r>
    </w:p>
    <w:p>
      <w:pPr>
        <w:jc w:val="center"/>
      </w:pPr>
      <w:r>
        <w:rPr>
          <w:rFonts w:ascii="Arial" w:cs="Arial" w:eastAsia="Arial" w:hAnsi="Arial"/>
          <w:sz w:val="22"/>
          <w:szCs w:val="22"/>
        </w:rPr>
        <w:t xml:space="preserve">Complete Project Specification | Architecture · Tech Stack · Datasets · Guardrails · Evals · Build Plan · Interview Narratives</w:t>
      </w:r>
    </w:p>
    <w:p>
      <w:pPr>
        <w:spacing w:after="200"/>
        <w:jc w:val="center"/>
      </w:pPr>
      <w:r>
        <w:rPr>
          <w:rFonts w:ascii="Arial" w:cs="Arial" w:eastAsia="Arial" w:hAnsi="Arial"/>
          <w:sz w:val="20"/>
          <w:szCs w:val="20"/>
        </w:rPr>
        <w:t xml:space="preserve">Built for: Principal AI Solutions Engineer / AI PM transition | Bay Area | $350k–$500k+ TC target</w:t>
      </w:r>
    </w:p>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0. Project positioning</w:t>
      </w:r>
    </w:p>
    <w:p>
      <w:pPr>
        <w:spacing w:after="100"/>
      </w:pPr>
      <w:r>
        <w:rPr>
          <w:rFonts w:ascii="Arial" w:cs="Arial" w:eastAsia="Arial" w:hAnsi="Arial"/>
          <w:sz w:val="20"/>
          <w:szCs w:val="20"/>
        </w:rPr>
        <w:t xml:space="preserve">FinSight is a multimodal financial evidence engine — not a 'chat with PDFs' demo. It answers investor-grade questions by retrieving across four modalities simultaneously: earnings call transcripts, SEC structured fundamentals, OHLCV time-series data, and market news. Every answer is source-cited, guardrail-checked, and evaluated with a proper retrieval + generation harness.</w:t>
      </w:r>
    </w:p>
    <w:p>
      <w:pPr>
        <w:spacing w:after="100"/>
      </w:pPr>
      <w:r>
        <w:rPr>
          <w:rFonts w:ascii="Arial" w:cs="Arial" w:eastAsia="Arial" w:hAnsi="Arial"/>
          <w:sz w:val="20"/>
          <w:szCs w:val="20"/>
        </w:rPr>
        <w:t xml:space="preserve">The framing that lands in interviews: 'I built a system that reconciles what management said on the call, what the filing actually disclosed, and what the market did around that event — and flags when they disagree.' That is real enterprise financial intelligence, not a chatbot.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3864"/>
                <w:sz w:val="20"/>
                <w:szCs w:val="20"/>
              </w:rPr>
              <w:t xml:space="preserve">One-line pitch for recruiters: 'I built a financial RAG system with hybrid retrieval, a fine-tuned two-tower bi-encoder, responsible AI guardrails, and RAGAS evaluation across SEC filings, earnings calls, fundamentals, and market data.'</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1. Datasets — your mentor's recommended sources, with roles defined</w:t>
      </w:r>
    </w:p>
    <w:p>
      <w:pPr>
        <w:spacing w:after="120"/>
      </w:pPr>
      <w:r>
        <w:rPr>
          <w:rFonts w:ascii="Arial" w:cs="Arial" w:eastAsia="Arial" w:hAnsi="Arial"/>
          <w:sz w:val="18"/>
          <w:szCs w:val="18"/>
        </w:rPr>
        <w:t xml:space="preserve">The five datasets your mentor recommended plus the FMP API. Each plays a distinct role. Entity resolution key across all sources: ticker symbol.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800"/>
        <w:gridCol w:w="1800"/>
        <w:gridCol w:w="17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Dataset</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Source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you load</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Join key</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D6F42"/>
                <w:sz w:val="18"/>
                <w:szCs w:val="18"/>
              </w:rPr>
              <w:t xml:space="preserve">Motley Fool earnings transcripts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Kaggle: tpotterer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Primary text corpus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Speaker-turn chunks, Q&amp;A pairs for fine-tuning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ticker + date</w:t>
            </w:r>
          </w:p>
        </w:tc>
        <w:tc>
          <w:tcPr>
            <w:tcW w:type="dxa" w:w="17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b/>
                <w:bCs/>
                <w:color w:val="7B2D00"/>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D6F42"/>
                <w:sz w:val="18"/>
                <w:szCs w:val="18"/>
              </w:rPr>
              <w:t xml:space="preserve">SEC financial statements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sec.gov EDGAR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Structured modality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Revenue, EPS, margins, debt by ticker/period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ticker + period</w:t>
            </w:r>
          </w:p>
        </w:tc>
        <w:tc>
          <w:tcPr>
            <w:tcW w:type="dxa" w:w="17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b/>
                <w:bCs/>
                <w:color w:val="7B2D00"/>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D6F42"/>
                <w:sz w:val="18"/>
                <w:szCs w:val="18"/>
              </w:rPr>
              <w:t xml:space="preserve">Stock market OHLCV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Kaggle: jacksoncrow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Time-series modality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Daily OHLCV, event-window ±10 days charts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ticker + date</w:t>
            </w:r>
          </w:p>
        </w:tc>
        <w:tc>
          <w:tcPr>
            <w:tcW w:type="dxa" w:w="17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b/>
                <w:bCs/>
                <w:color w:val="7B2D00"/>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Stock news headlines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Kaggle: aaron7sun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Sentiment context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Headlines in 7-day window around filing/call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date (approx ticker)</w:t>
            </w:r>
          </w:p>
        </w:tc>
        <w:tc>
          <w:tcPr>
            <w:tcW w:type="dxa" w:w="17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top"/>
          </w:tcPr>
          <w:p>
            <w:r>
              <w:rPr>
                <w:rFonts w:ascii="Arial" w:cs="Arial" w:eastAsia="Arial" w:hAnsi="Arial"/>
                <w:b/>
                <w:bCs/>
                <w:color w:val="375623"/>
                <w:sz w:val="18"/>
                <w:szCs w:val="18"/>
              </w:rPr>
              <w:t xml:space="preserve">NICE TO HAVE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Data Retriever (ahmedsta)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Kaggle: ahmedsta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Chart images (validate first)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Chart images + captions if financial. Else: auto-generate charts from OHLCV + LLM captions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ticker + date</w:t>
            </w:r>
          </w:p>
        </w:tc>
        <w:tc>
          <w:tcPr>
            <w:tcW w:type="dxa" w:w="17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b/>
                <w:bCs/>
                <w:color w:val="833C00"/>
                <w:sz w:val="18"/>
                <w:szCs w:val="18"/>
              </w:rPr>
              <w:t xml:space="preserve">VALIDATE FIRST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FMP Live API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financialmodelingprep.com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Real-time enrichment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Current fundamentals, recent earnings at query 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ticker (live)</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b/>
                <w:bCs/>
                <w:color w:val="595959"/>
                <w:sz w:val="18"/>
                <w:szCs w:val="18"/>
              </w:rPr>
              <w:t xml:space="preserve">STRETCH</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bCs/>
                <w:color w:val="375623"/>
                <w:sz w:val="20"/>
                <w:szCs w:val="20"/>
              </w:rPr>
              <w:t xml:space="preserve">Dataset construction note: The two-tower bi-encoder fine-tuning uses Motley Fool transcripts as weak supervision — analyst questions (Q&amp;A section) = queries, management response paragraphs = gold passages. This gives you 500–1000 labeled pairs without manual annotation. Say this explicitly in interviews — it is a methodologically defensible story.</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2. Normalized 4-table schema</w:t>
      </w:r>
    </w:p>
    <w:p>
      <w:pPr>
        <w:spacing w:after="120"/>
      </w:pPr>
      <w:r>
        <w:rPr>
          <w:rFonts w:ascii="Arial" w:cs="Arial" w:eastAsia="Arial" w:hAnsi="Arial"/>
          <w:sz w:val="18"/>
          <w:szCs w:val="18"/>
        </w:rPr>
        <w:t xml:space="preserve">This schema is itself an interview talking point. Designing a unified data model before writing any model code signals engineering maturity. Most candidates jump straight to embeddings.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Table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Key fields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Source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Interview talking point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documents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doc_id, ticker, doc_type, date, source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All text datasets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Unified schema across 4 source types — shows systems thinking, not just ML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chunks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chunk_id, doc_id, text, section, embedding_vector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Motley Fool, news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Metadata on every chunk (section, doc_type) enables source-specific Recall@K breakdown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fundamentals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ticker, period, metric_name, metric_value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SEC EDGAR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Structured modality — retrieved as metrics panel alongside text evidence. Your multimodality claim.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prices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ticker, date, open, high, low, close, volume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Kaggle OHLCV</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Event-window chart generation — makes demo feel real and shows time-series reasoning</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3. Full tech stack with rationale</w:t>
      </w:r>
    </w:p>
    <w:p>
      <w:pPr>
        <w:spacing w:after="120"/>
      </w:pPr>
      <w:r>
        <w:rPr>
          <w:rFonts w:ascii="Arial" w:cs="Arial" w:eastAsia="Arial" w:hAnsi="Arial"/>
          <w:sz w:val="18"/>
          <w:szCs w:val="18"/>
        </w:rPr>
        <w:t xml:space="preserve">Every tool choice has a reason. If an interviewer asks 'why FAISS over Pinecone?' the answer is: local development, no infra cost, and the architecture is designed so swapping to Pinecone for a production story takes one line. That answer is better than 'because the tutorial used it.'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 / Library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this choice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Interview signal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Data versioning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DVC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Git for data, reproducibility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Shows you think about reproducibility — most portfolio projects skip this entirely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Chunking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LangChain TextSplitter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Speaker-turn aware splitting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400-token chunks with 50-token overlap, metadata tagging per chunk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Sparse index</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rank-bm25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Fast, no infrastructure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Keyword retrieval baseline — can compare BM25-only vs hybrid in eval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Dense encoder (base)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all-MiniLM-L6-v2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Strong baseline, fast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Baseline retriever before fine-tuning — gives you a before/after comparison story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Dense encoder (fine-tuned)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Two-tower SBERT (instacart architecture)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Domain-adapted to finance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Fine-tuned on Motley Fool Q&amp;A pairs with MultipleNegativesRankingLoss — measurable Recall@K lift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Vector store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FAISS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Local, no infra cost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IndexFlatIP for cosine similarity, IVFFlat for scale demo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Hybrid fusion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Custom RRF implementation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Combines BM25 + dense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Reciprocal Rank Fusion — simple, effective, and a named technique interviewers recognize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Reranker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cross-encoder/ms-marco-MiniLM-L-6-v2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Production-grade reranker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Separate retrieval from ranking — shows you understand the two-stage retrieval pattern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Experiment tracking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MLflow</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Industry standard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Track retrieval configs, compare baseline vs fine-tuned bi-encoder, log latency per path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LLM (local)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Gemma 2 9B via Ollama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RTX 4060 compatible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Shows you can run inference locally on real hardware — not just API calls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LLM (demo)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GPT-4o via API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Best answer quality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Use for demo screenshots and README — highest visual impact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Eval framework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RAGAS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RAG-specific metrics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Faithfulness, answer relevancy, context recall — name-dropped in every strong MLE interview</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Serving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FastAPI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Production-grade API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Query logging endpoint, latency headers, /health check — MLOps signals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Demo UI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Streamlit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Fast, shareable URL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Public URL in LinkedIn Featured section is the single highest-leverage job search action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Guardrails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Guardrails-AI or custom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Input + output safety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PII detection, jailbreak check, hallucination scoring, citation verification</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4. System architecture — seven layers</w:t>
      </w:r>
    </w:p>
    <w:p>
      <w:pPr>
        <w:spacing w:after="80" w:before="160"/>
      </w:pPr>
      <w:r>
        <w:rPr>
          <w:rFonts w:ascii="Arial" w:cs="Arial" w:eastAsia="Arial" w:hAnsi="Arial"/>
          <w:b/>
          <w:bCs/>
          <w:color w:val="0F6E56"/>
          <w:sz w:val="22"/>
          <w:szCs w:val="22"/>
        </w:rPr>
        <w:t xml:space="preserve">Layer 1: Data ingestion</w:t>
      </w:r>
    </w:p>
    <w:p>
      <w:pPr>
        <w:spacing w:after="100"/>
      </w:pPr>
      <w:r>
        <w:rPr>
          <w:rFonts w:ascii="Arial" w:cs="Arial" w:eastAsia="Arial" w:hAnsi="Arial"/>
          <w:sz w:val="20"/>
          <w:szCs w:val="20"/>
        </w:rPr>
        <w:t xml:space="preserve">Load Motley Fool transcripts, chunk by speaker turn at 400 tokens with 50-token overlap. Tag every chunk with metadata: ticker, date, doc_type, section_name, speaker_role. Parse SEC XBRL data into fundamentals table. Load OHLCV CSVs into prices table. Load news headlines with date and approximate ticker matching. Version all raw data with DVC before any transformation.</w:t>
      </w:r>
    </w:p>
    <w:p>
      <w:pPr>
        <w:spacing w:after="80" w:before="160"/>
      </w:pPr>
      <w:r>
        <w:rPr>
          <w:rFonts w:ascii="Arial" w:cs="Arial" w:eastAsia="Arial" w:hAnsi="Arial"/>
          <w:b/>
          <w:bCs/>
          <w:color w:val="0F6E56"/>
          <w:sz w:val="22"/>
          <w:szCs w:val="22"/>
        </w:rPr>
        <w:t xml:space="preserve">Layer 2: Dual indexing</w:t>
      </w:r>
    </w:p>
    <w:p>
      <w:pPr>
        <w:spacing w:after="100"/>
      </w:pPr>
      <w:r>
        <w:rPr>
          <w:rFonts w:ascii="Arial" w:cs="Arial" w:eastAsia="Arial" w:hAnsi="Arial"/>
          <w:sz w:val="20"/>
          <w:szCs w:val="20"/>
        </w:rPr>
        <w:t xml:space="preserve">Build BM25 index over all text chunks using rank-bm25. Build FAISS IVFFlat dense index using all-MiniLM-L6-v2 as baseline, then replace with fine-tuned two-tower bi-encoder after Phase 3. Build secondary SQLite index over fundamentals and prices tables for structured queries. Log index build time and size to MLflow.</w:t>
      </w:r>
    </w:p>
    <w:p>
      <w:pPr>
        <w:spacing w:after="80" w:before="160"/>
      </w:pPr>
      <w:r>
        <w:rPr>
          <w:rFonts w:ascii="Arial" w:cs="Arial" w:eastAsia="Arial" w:hAnsi="Arial"/>
          <w:b/>
          <w:bCs/>
          <w:color w:val="0F6E56"/>
          <w:sz w:val="22"/>
          <w:szCs w:val="22"/>
        </w:rPr>
        <w:t xml:space="preserve">Layer 3: Query routing</w:t>
      </w:r>
    </w:p>
    <w:p>
      <w:pPr>
        <w:spacing w:after="100"/>
      </w:pPr>
      <w:r>
        <w:rPr>
          <w:rFonts w:ascii="Arial" w:cs="Arial" w:eastAsia="Arial" w:hAnsi="Arial"/>
          <w:sz w:val="20"/>
          <w:szCs w:val="20"/>
        </w:rPr>
        <w:t xml:space="preserve">Intent router classifies incoming query into one of four paths: transcript-QA (prioritize Motley Fool chunks), fundamentals (prioritize SEC table lookup), event-context (retrieve transcript + price window + news), risk-analysis (prioritize risk sections of filings). Router is rule-based for MVP, upgradable to a small classifier. Log routing decision and path latency per query.</w:t>
      </w:r>
    </w:p>
    <w:p>
      <w:pPr>
        <w:spacing w:after="80" w:before="160"/>
      </w:pPr>
      <w:r>
        <w:rPr>
          <w:rFonts w:ascii="Arial" w:cs="Arial" w:eastAsia="Arial" w:hAnsi="Arial"/>
          <w:b/>
          <w:bCs/>
          <w:color w:val="0F6E56"/>
          <w:sz w:val="22"/>
          <w:szCs w:val="22"/>
        </w:rPr>
        <w:t xml:space="preserve">Layer 4: Hybrid retrieval + reranking</w:t>
      </w:r>
    </w:p>
    <w:p>
      <w:pPr>
        <w:spacing w:after="100"/>
      </w:pPr>
      <w:r>
        <w:rPr>
          <w:rFonts w:ascii="Arial" w:cs="Arial" w:eastAsia="Arial" w:hAnsi="Arial"/>
          <w:sz w:val="20"/>
          <w:szCs w:val="20"/>
        </w:rPr>
        <w:t xml:space="preserve">Run BM25 retrieval and dense retrieval in parallel. Merge using Reciprocal Rank Fusion (RRF) with k=60. Pass top-20 merged results to cross-encoder reranker (ms-marco-MiniLM-L-6-v2). Return top-5 chunks plus matching fundamentals row and price event window.</w:t>
      </w:r>
    </w:p>
    <w:p>
      <w:pPr>
        <w:spacing w:after="80" w:before="160"/>
      </w:pPr>
      <w:r>
        <w:rPr>
          <w:rFonts w:ascii="Arial" w:cs="Arial" w:eastAsia="Arial" w:hAnsi="Arial"/>
          <w:b/>
          <w:bCs/>
          <w:color w:val="0F6E56"/>
          <w:sz w:val="22"/>
          <w:szCs w:val="22"/>
        </w:rPr>
        <w:t xml:space="preserve">Layer 5: Guardrails</w:t>
      </w:r>
    </w:p>
    <w:p>
      <w:pPr>
        <w:spacing w:after="100"/>
      </w:pPr>
      <w:r>
        <w:rPr>
          <w:rFonts w:ascii="Arial" w:cs="Arial" w:eastAsia="Arial" w:hAnsi="Arial"/>
          <w:sz w:val="20"/>
          <w:szCs w:val="20"/>
        </w:rPr>
        <w:t xml:space="preserve">Input: PII detection via presidio, jailbreak pattern matching, financial advice intent check. Context: drop chunks below cosine similarity 0.3. Output: RAGAS faithfulness scoring, numeric claim extraction and cross-reference against fundamentals table, financial advice output filter. Flag but do not block — log all guardrail triggers for dashboard display in Streamlit.</w:t>
      </w:r>
    </w:p>
    <w:p>
      <w:pPr>
        <w:spacing w:after="80" w:before="160"/>
      </w:pPr>
      <w:r>
        <w:rPr>
          <w:rFonts w:ascii="Arial" w:cs="Arial" w:eastAsia="Arial" w:hAnsi="Arial"/>
          <w:b/>
          <w:bCs/>
          <w:color w:val="0F6E56"/>
          <w:sz w:val="22"/>
          <w:szCs w:val="22"/>
        </w:rPr>
        <w:t xml:space="preserve">Layer 6: Generation</w:t>
      </w:r>
    </w:p>
    <w:p>
      <w:pPr>
        <w:spacing w:after="100"/>
      </w:pPr>
      <w:r>
        <w:rPr>
          <w:rFonts w:ascii="Arial" w:cs="Arial" w:eastAsia="Arial" w:hAnsi="Arial"/>
          <w:sz w:val="20"/>
          <w:szCs w:val="20"/>
        </w:rPr>
        <w:t xml:space="preserve">Assemble context window: up to 3 text passages + fundamentals row for the ticker/period + price chart as markdown table. Generate with system prompt that enforces citation format. Parse output to extract source attributions. Run post-generation hallucination check. Return structured response object: answer, citations, guardrail_flags, latency_ms, routing_path.</w:t>
      </w:r>
    </w:p>
    <w:p>
      <w:pPr>
        <w:spacing w:after="80" w:before="160"/>
      </w:pPr>
      <w:r>
        <w:rPr>
          <w:rFonts w:ascii="Arial" w:cs="Arial" w:eastAsia="Arial" w:hAnsi="Arial"/>
          <w:b/>
          <w:bCs/>
          <w:color w:val="0F6E56"/>
          <w:sz w:val="22"/>
          <w:szCs w:val="22"/>
        </w:rPr>
        <w:t xml:space="preserve">Layer 7: Evaluation and serving</w:t>
      </w:r>
    </w:p>
    <w:p>
      <w:pPr>
        <w:spacing w:after="100"/>
      </w:pPr>
      <w:r>
        <w:rPr>
          <w:rFonts w:ascii="Arial" w:cs="Arial" w:eastAsia="Arial" w:hAnsi="Arial"/>
          <w:sz w:val="20"/>
          <w:szCs w:val="20"/>
        </w:rPr>
        <w:t xml:space="preserve">RAGAS harness runs on 50 held-out Q&amp;A pairs constructed from Motley Fool transcripts. Retrieval eval computes Recall@5, Recall@10, MRR, nDCG@10 with per-source breakdown. MLflow logs all experiment configs. FastAPI exposes /query, /health, /logs endpoints. Streamlit demo shows 4 canonical scenarios with source citations, guardrail indicators, and routing path display.</w:t>
      </w:r>
    </w:p>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5. Guardrails — responsible AI layer</w:t>
      </w:r>
    </w:p>
    <w:p>
      <w:pPr>
        <w:spacing w:after="120"/>
      </w:pPr>
      <w:r>
        <w:rPr>
          <w:rFonts w:ascii="Arial" w:cs="Arial" w:eastAsia="Arial" w:hAnsi="Arial"/>
          <w:sz w:val="18"/>
          <w:szCs w:val="18"/>
        </w:rPr>
        <w:t xml:space="preserve">Your Centene and CVS work already demonstrates responsible AI in production. FinSight makes it visible in a public artifact. This section will differentiate you at Scale AI, Anthropic, and any enterprise AI company that asks about safety in technical interviews.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Guardrail type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it checks</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Implementation</w:t>
            </w:r>
          </w:p>
        </w:tc>
        <w:tc>
          <w:tcPr>
            <w:tcW w:type="dxa" w:w="2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it matters for your target roles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Input: PII detection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SSN, account numbers, personal data in query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regex + presidio library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Directly parallels your Centene responsible AI work — shows production-grade thinking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Input: jailbreak / prompt injection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Attempts to override system prompt or extract training data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Guardrails-AI ValidLength + custom classifier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Palantir and enterprise AI companies ask specifically about this in interviews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Input: financial advice disclaimer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Queries requesting explicit buy/sell recommendations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Intent classifier + canned response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Shows domain-aware responsible AI thinking — not just generic safety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Context: relevance threshold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Retrieved chunks below similarity score cutoff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Drop chunks below cosine sim 0.3</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Prevents low-quality context from degrading answer faithfulness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Output: hallucination check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Claims in answer not supported by retrieved context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RAGAS faithfulness score &lt; 0.7 triggers flag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The metric that separates your eval story from everyone else who just runs RAGAS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Output: citation verification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Every numeric claim (revenue, EPS, margin) traced to source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Post-generation structured extraction + source match</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Structured data accuracy metric — cross-source consistency demo is built on this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Output: financial advice filter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Generated answer contains explicit investment recommendation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Keyword + LLM-as-judge classifier on output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Enterprise compliance requirement — shows you shipped responsible AI, not just ML</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6. Evaluation harness — metrics, ground truth, and interview story</w:t>
      </w:r>
    </w:p>
    <w:p>
      <w:pPr>
        <w:spacing w:after="120"/>
      </w:pPr>
      <w:r>
        <w:rPr>
          <w:rFonts w:ascii="Arial" w:cs="Arial" w:eastAsia="Arial" w:hAnsi="Arial"/>
          <w:sz w:val="18"/>
          <w:szCs w:val="18"/>
        </w:rPr>
        <w:t xml:space="preserve">The key insight: separate retrieval eval from generation eval. Most candidates conflate them or skip retrieval eval entirely. Your per-source Recall@K breakdown — 'risk queries get 78% recall from filings but only 41% from transcripts' — is a specific, defensible finding that signals you actually ran the eval, not just described it.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600"/>
        <w:gridCol w:w="27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Metric</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Category</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value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How to construct ground truth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Recall@5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Retrieval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&gt;= 0.70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Custom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Extract Q&amp;A pairs from Motley Fool transcripts — analyst question = query, management response = gold passage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Recall@10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Retrieval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&gt;= 0.80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Custom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Same construction, looser window. Report per-source breakdown: filings vs transcripts vs news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MRR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Retrieval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&gt;= 0.60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Custom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Rank of first relevant passage. Shows retrieval quality beyond just inclusion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nDCG@10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Retrieval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&gt;= 0.65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Custom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Graded relevance scoring — label top passage as 2, supporting passages as 1</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Faithfulness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Generation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&gt;= 0.85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RAGAS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Is every claim in the answer supported by retrieved context? Automated via RAGAS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Answer relevancy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Generation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&gt;= 0.80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RAGAS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Does the answer actually address the question? RAGAS computes via embedding similarity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Context recall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Generation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&gt;= 0.75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RAGAS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Did retrieval provide enough evidence for a correct answer?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Structured data accuracy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Multimodal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&gt;= 0.90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Custom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 of numeric claims (revenue, EPS, margins) matching SEC fundamentals table — your multimodal eval story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Cross-source consistency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Multimodal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Report only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LLM-as-judge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GPT-4o judges whether filing language and transcript language agree. Spot-check 20% manually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Retrieval latency P50/P95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Engineering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P50 &lt; 500ms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FastAPI middleware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Log per routing path — MLOps signal that almost no portfolio projects include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Fine-tuned vs baseline lift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Model comparison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Delta Recall@5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Custom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Your headline result: 'Fine-tuning the bi-encoder on financial Q&amp;A pairs improved Recall@5 from X to 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33C00"/>
                <w:sz w:val="20"/>
                <w:szCs w:val="20"/>
              </w:rPr>
              <w:t xml:space="preserve">README results table — use real numbers only. Do not fabricate targets. The methodology story ('I constructed ground truth from Motley Fool Q&amp;A sections using analyst questions as queries') is worth more than hitting a round number.</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7. Six-week build plan — MVP vs stretch clearly scoped</w:t>
      </w:r>
    </w:p>
    <w:p>
      <w:pPr>
        <w:spacing w:after="120"/>
      </w:pPr>
      <w:r>
        <w:rPr>
          <w:rFonts w:ascii="Arial" w:cs="Arial" w:eastAsia="Arial" w:hAnsi="Arial"/>
          <w:sz w:val="18"/>
          <w:szCs w:val="18"/>
        </w:rPr>
        <w:t xml:space="preserve">Week 1-3 = MVP. Week 4-6 = production-ready. The rule: something deployed and publicly accessible at end of Week 3. Guardrails and eval before demo polish.</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000"/>
        <w:gridCol w:w="346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Week</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Deliverables</w:t>
            </w:r>
          </w:p>
        </w:tc>
        <w:tc>
          <w:tcPr>
            <w:tcW w:type="dxa" w:w="3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Interview signal</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Corpus + schema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Load all 5 sources, validate ahmedsta, create 4-table SQLite schema, DVC init, entity-resolve by ticker</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 designed a normalized schema joining 4 source types by ticker symbol before writing any model code' — shows engineering maturity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Dual index + baseline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BM25 index, FAISS dense index with all-MiniLM-L6-v2 baseline, hybrid RRF fusion, end-to-end retrieval running</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'My baseline retriever gives me a before/after comparison for the fine-tuning story' — evaluation-first thinking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Two-tower fine-tuning + reranker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Extract 500+ Q&amp;A pairs from Motley Fool, fine-tune bi-encoder with MultipleNegativesRankingLoss, add cross-encoder reranker, measure Recall@K lift</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 fine-tuned a two-tower retriever on domain-specific Q&amp;A pairs and measured a [X]% lift in Recall@5' — the headline result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Router + context assembly + guardrails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4-path intent router, multimodal context assembly (passages + metrics panel + price chart), input + output guardrails, LLM generation with citations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 implemented responsible AI guardrails covering PII detection, jailbreak prevention, and citation verification' — directly parallels CVS/Centene work</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Eval harness + MLflow</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RAGAS harness on 50 held-out Q&amp;A pairs, retrieval metrics with per-source breakdown, MLflow experiment tracking, latency logging per routing path</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The results table in your README with real numbers — most portfolio projects have no eval section at all</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F3864"/>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FastAPI + Streamlit + README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FastAPI with /query /health /logs endpoints, Streamlit demo with 4 canonical scenarios, README with architecture diagram, metrics table, trade-offs, public URL</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Public URL in LinkedIn Featured section — the single highest-leverage job search action after the portfolio is built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bCs/>
                <w:color w:val="375623"/>
                <w:sz w:val="20"/>
                <w:szCs w:val="20"/>
              </w:rPr>
              <w:t xml:space="preserve">Scope discipline rule: if you are choosing between adding a feature and writing the README eval section, write the eval section. A deployed system with real numbers is worth 10x an undeployed system with more features.</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8. Repository structure</w:t>
      </w:r>
    </w:p>
    <w:p>
      <w:pPr>
        <w:spacing w:after="100"/>
      </w:pPr>
      <w:r>
        <w:rPr>
          <w:rFonts w:ascii="Arial" w:cs="Arial" w:eastAsia="Arial" w:hAnsi="Arial"/>
          <w:sz w:val="20"/>
          <w:szCs w:val="20"/>
        </w:rPr>
        <w:t xml:space="preserve">Repo name: finsight-rag (or financial-evidence-engine)</w:t>
      </w:r>
    </w:p>
    <w:p>
      <w:r>
        <w:rPr>
          <w:rFonts w:ascii="Arial" w:cs="Arial" w:eastAsia="Arial" w:hAnsi="Arial"/>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Directory / file</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data/raw/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DVC-tracked raw datasets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data/processed/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Chunks, fundamentals, prices SQLite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src/ingestion/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Loaders, chunker, schema creation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src/indexing/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BM25 builder, FAISS builder, fine-tuning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src/retrieval/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Router, hybrid RRF, reranker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src/guardrails/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Input + output guardrail modules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src/generation/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Context assembly, LLM call, citation parser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src/evaluation/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RAGAS harness, retrieval metrics, MLflow logging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api/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FastAPI app, endpoints, middleware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ui/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Streamlit demo app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notebooks/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EDA, fine-tuning experiments, eval analysis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mlruns/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MLflow experiment logs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README.md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Architecture diagram, metrics table, trade-offs, demo screenshots, public URL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.dvc/</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DVC config and cache pointers</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9. Four canonical demo scenarios</w:t>
      </w:r>
    </w:p>
    <w:p>
      <w:pPr>
        <w:spacing w:after="120"/>
      </w:pPr>
      <w:r>
        <w:rPr>
          <w:rFonts w:ascii="Arial" w:cs="Arial" w:eastAsia="Arial" w:hAnsi="Arial"/>
          <w:sz w:val="18"/>
          <w:szCs w:val="18"/>
        </w:rPr>
        <w:t xml:space="preserve">Each demo is designed to showcase a different technical layer. Demo 3 — cross-source consistency — is the most memorable and has no equivalent in any other portfolio project you will be competing against.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00"/>
        <w:gridCol w:w="19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Demo</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Sample query</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it retrieves</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Technical layer shown</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Role-specific talking point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D6F42"/>
                <w:sz w:val="18"/>
                <w:szCs w:val="18"/>
              </w:rPr>
              <w:t xml:space="preserve">Demo 1: Investor QA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'Why did Nvidia's gross margin improve last quarter?'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Transcript chunks + SEC metrics panel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Multi-source retrieval, context assembly, citation grounding</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MLE: retrieval precision. PM: grounded vs hallucinated answer side-by-side. Solutions Eng: analyst workflow replaced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D6F42"/>
                <w:sz w:val="18"/>
                <w:szCs w:val="18"/>
              </w:rPr>
              <w:t xml:space="preserve">Demo 2: Event context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'What happened around Apple's last earnings call?'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Transcript summary + OHLCV ±10 day chart + news headlines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Time-series multimodal, chart generation, news integration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Your most visually impressive demo. Chart makes it feel like a real product, not a chatbot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D6F42"/>
                <w:sz w:val="18"/>
                <w:szCs w:val="18"/>
              </w:rPr>
              <w:t xml:space="preserve">Demo 3: Cross-source consistency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'Did management guidance align with the 10-K disclosures?'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Filing passage + transcript passage for same company/period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Cross-source retrieval, LLM-as-judge reconciliation, citation verification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No other RAG portfolio project has this demo. Interviewers at Glean, Palantir, Sierra will remember it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D6F42"/>
                <w:sz w:val="18"/>
                <w:szCs w:val="18"/>
              </w:rPr>
              <w:t xml:space="preserve">Demo 4: Risk analysis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'What risks did Tesla management emphasize in 2023?'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Risk section of 10-K + earnings call commentary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Query router selecting filing sub-pipeline, multi-passage synthesis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MLOps: show router decision logged in MLflow. PM: responsible AI framing around risk flagging</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10. Interview narratives — three versions, one project</w:t>
      </w:r>
    </w:p>
    <w:p>
      <w:pPr>
        <w:spacing w:after="120"/>
      </w:pPr>
      <w:r>
        <w:rPr>
          <w:rFonts w:ascii="Arial" w:cs="Arial" w:eastAsia="Arial" w:hAnsi="Arial"/>
          <w:sz w:val="18"/>
          <w:szCs w:val="18"/>
        </w:rPr>
        <w:t xml:space="preserve">Same project, different emphasis. Choose based on who is in the room. All three are true — you are not exaggerating, you are selecting the signal that is most relevant to that interviewer.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Role target</w:t>
            </w:r>
          </w:p>
        </w:tc>
        <w:tc>
          <w:tcPr>
            <w:tcW w:type="dxa" w:w="5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Your pitch (memorize this)</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19"/>
                <w:szCs w:val="19"/>
              </w:rPr>
              <w:t xml:space="preserve">Use when talking to</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Solutions Engineer / FDE
(Palantir, Moveworks, Sierra, Databricks)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 have spent 15 years shipping enterprise AI systems — most recently a multi-agent voice system at CVS handling RAG, transactional APIs, and voice orchestration, and an identity AI at Centene managing MFA workflows via MuleSoft. I also built FinSight independently — a financial RAG system with hybrid retrieval, a fine-tuned two-tower bi-encoder, guardrails, and RAGAS evaluation — to prove I can architect ML systems outside any one platform. I sit at the intersection of system design authority and enterprise delivery execution. Most people can do one. I have had to do both.'</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Palantir FDE screen, Moveworks Solutions Eng, Sierra, Databricks SA</w:t>
            </w:r>
          </w:p>
        </w:tc>
      </w:tr>
      <w:tr>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top"/>
          </w:tcPr>
          <w:p>
            <w:r>
              <w:rPr>
                <w:rFonts w:ascii="Arial" w:cs="Arial" w:eastAsia="Arial" w:hAnsi="Arial"/>
                <w:b/>
                <w:bCs/>
                <w:color w:val="375623"/>
                <w:sz w:val="18"/>
                <w:szCs w:val="18"/>
              </w:rPr>
              <w:t xml:space="preserve">AI PM
(Salesforce Einstein, Scale AI, Glean, Addepar)</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 identify the gap between what AI can do and what enterprise customers actually need — then I design the system, define success metrics, and own delivery to production. At CVS I translated a voice + agentic AI vision into a shipped system across product, engineering, QA, security, and legal. I also built FinSight to prove I can have a credible technical conversation with any engineer on my team — I fine-tuned a retrieval model, implemented guardrails, and ran a proper eval harness with RAGAS.'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Salesforce Einstein PM, Scale AI Eval PM, Glean AI PM, Addepar AI Lead</w:t>
            </w:r>
          </w:p>
        </w:tc>
      </w:tr>
      <w:tr>
        <w:tc>
          <w:tcPr>
            <w:tcW w:type="dxa" w:w="2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b/>
                <w:bCs/>
                <w:color w:val="7B2D00"/>
                <w:sz w:val="18"/>
                <w:szCs w:val="18"/>
              </w:rPr>
              <w:t xml:space="preserve">Fintech-adjacent
(Addepar, Carta, Brex, Cohere)</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'I have genuine interest in financial data — I built FinSight because I find the retrieval and reasoning challenges in finance interesting, not because a dataset was available. It answers investor-grade questions by retrieving across SEC filings, earnings call transcripts, and structured market data using hybrid retrieval and cross-encoder reranking. Combined with 15 years of enterprise AI delivery, I can bring real domain credibility and technical depth to AI products in this space.'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8"/>
                <w:szCs w:val="18"/>
              </w:rPr>
              <w:t xml:space="preserve">Addepar, Carta, Brex, any fintech AI role</w:t>
            </w:r>
          </w:p>
        </w:tc>
      </w:tr>
    </w:tbl>
    <w:p>
      <w:r>
        <w:rPr>
          <w:rFonts w:ascii="Arial" w:cs="Arial" w:eastAsia="Arial" w:hAnsi="Arial"/>
          <w:sz w:val="20"/>
          <w:szCs w:val="20"/>
        </w:rPr>
        <w:t xml:space="preserve"/>
      </w:r>
    </w:p>
    <w:p>
      <w:pPr>
        <w:pStyle w:val="Heading1"/>
      </w:pPr>
      <w:r>
        <w:rPr>
          <w:rFonts w:ascii="Arial" w:cs="Arial" w:eastAsia="Arial" w:hAnsi="Arial"/>
          <w:b/>
          <w:bCs/>
          <w:color w:val="1F3864"/>
          <w:sz w:val="32"/>
          <w:szCs w:val="32"/>
        </w:rPr>
        <w:t xml:space="preserve">11. Why this portfolio project stands out</w:t>
      </w:r>
    </w:p>
    <w:p>
      <w:pPr>
        <w:spacing w:after="80" w:before="160"/>
      </w:pPr>
      <w:r>
        <w:rPr>
          <w:rFonts w:ascii="Arial" w:cs="Arial" w:eastAsia="Arial" w:hAnsi="Arial"/>
          <w:b/>
          <w:bCs/>
          <w:color w:val="0F6E56"/>
          <w:sz w:val="22"/>
          <w:szCs w:val="22"/>
        </w:rPr>
        <w:t xml:space="preserve">vs. typical RAG capstones</w:t>
      </w:r>
    </w:p>
    <w:p>
      <w:pPr>
        <w:spacing w:after="100"/>
      </w:pPr>
      <w:r>
        <w:rPr>
          <w:rFonts w:ascii="Arial" w:cs="Arial" w:eastAsia="Arial" w:hAnsi="Arial"/>
          <w:sz w:val="20"/>
          <w:szCs w:val="20"/>
        </w:rPr>
        <w:t xml:space="preserve">Most RAG portfolio projects: single dataset (usually a PDF), one retrieval method, no evaluation, no guardrails, Streamlit demo with no deployed URL. FinSight: four data modalities, hybrid retrieval with a fine-tuned bi-encoder, responsible AI guardrails layer, RAGAS eval with per-source breakdown, deployed FastAPI + Streamlit, public URL. The gap is not subtle.</w:t>
      </w:r>
    </w:p>
    <w:p>
      <w:pPr>
        <w:spacing w:after="80" w:before="160"/>
      </w:pPr>
      <w:r>
        <w:rPr>
          <w:rFonts w:ascii="Arial" w:cs="Arial" w:eastAsia="Arial" w:hAnsi="Arial"/>
          <w:b/>
          <w:bCs/>
          <w:color w:val="0F6E56"/>
          <w:sz w:val="22"/>
          <w:szCs w:val="22"/>
        </w:rPr>
        <w:t xml:space="preserve">The three things interviewers will remember</w:t>
      </w:r>
    </w:p>
    <w:p>
      <w:pPr>
        <w:spacing w:after="100"/>
      </w:pPr>
      <w:r>
        <w:rPr>
          <w:rFonts w:ascii="Arial" w:cs="Arial" w:eastAsia="Arial" w:hAnsi="Arial"/>
          <w:sz w:val="20"/>
          <w:szCs w:val="20"/>
        </w:rPr>
        <w:t xml:space="preserve">First: the cross-source consistency demo — 'did management guidance align with the 10-K disclosures?' No one else has this. Second: the fine-tuned two-tower bi-encoder with a before/after Recall@K comparison — shows you understand that RAG is a retrieval problem, not just an LLM problem. Third: the guardrails layer with citation verification — directly parallels your Centene responsible AI work and shows production-grade thinking.</w:t>
      </w:r>
    </w:p>
    <w:p>
      <w:pPr>
        <w:spacing w:after="80" w:before="160"/>
      </w:pPr>
      <w:r>
        <w:rPr>
          <w:rFonts w:ascii="Arial" w:cs="Arial" w:eastAsia="Arial" w:hAnsi="Arial"/>
          <w:b/>
          <w:bCs/>
          <w:color w:val="0F6E56"/>
          <w:sz w:val="22"/>
          <w:szCs w:val="22"/>
        </w:rPr>
        <w:t xml:space="preserve">The one sentence that gets you interviews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3864"/>
                <w:sz w:val="20"/>
                <w:szCs w:val="20"/>
              </w:rPr>
              <w:t xml:space="preserve">'I built a financial evidence engine that reconciles earnings call transcripts, SEC filings, structured fundamentals, and price data into grounded cited answers — with a fine-tuned retriever, responsible AI guardrails, and a RAGAS evaluation harness showing measurable retrieval improvement over baseline.'</w:t>
            </w:r>
          </w:p>
        </w:tc>
      </w:tr>
    </w:tbl>
    <w:p>
      <w:r>
        <w:rPr>
          <w:rFonts w:ascii="Arial" w:cs="Arial" w:eastAsia="Arial" w:hAnsi="Arial"/>
          <w:sz w:val="20"/>
          <w:szCs w:val="20"/>
        </w:rPr>
        <w:t xml:space="preserve"/>
      </w:r>
    </w:p>
    <w:p>
      <w:pPr>
        <w:jc w:val="center"/>
      </w:pPr>
      <w:r>
        <w:rPr>
          <w:rFonts w:ascii="Arial" w:cs="Arial" w:eastAsia="Arial" w:hAnsi="Arial"/>
          <w:sz w:val="16"/>
          <w:szCs w:val="16"/>
        </w:rPr>
        <w:t xml:space="preserve">Built from full career strategy conversation | Target roles: Principal AI Solutions Engineer, AI PM, Applied AI Lead | Target comp: $350k–$500k+ TC | Timeline: FinSight MVP in 3 weeks, full portfolio in 6 weeks</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2026-04-19T18:51:45.588Z</dcterms:created>
  <dcterms:modified xsi:type="dcterms:W3CDTF">2026-04-19T18:51:45.589Z</dcterms:modified>
</cp:coreProperties>
</file>

<file path=docProps/custom.xml><?xml version="1.0" encoding="utf-8"?>
<Properties xmlns="http://schemas.openxmlformats.org/officeDocument/2006/custom-properties" xmlns:vt="http://schemas.openxmlformats.org/officeDocument/2006/docPropsVTypes"/>
</file>