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proofErr w:type="spellStart"/>
      <w:r w:rsidR="00BA41AF">
        <w:rPr>
          <w:sz w:val="24"/>
        </w:rPr>
        <w:t>Soumik</w:t>
      </w:r>
      <w:proofErr w:type="spellEnd"/>
      <w:r w:rsidR="00BA41AF">
        <w:rPr>
          <w:sz w:val="24"/>
        </w:rPr>
        <w:t xml:space="preserve">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proofErr w:type="spellStart"/>
      <w:r>
        <w:lastRenderedPageBreak/>
        <w:t>Sommaire</w:t>
      </w:r>
      <w:bookmarkEnd w:id="32"/>
      <w:bookmarkEnd w:id="33"/>
      <w:bookmarkEnd w:id="34"/>
      <w:bookmarkEnd w:id="35"/>
      <w:bookmarkEnd w:id="36"/>
      <w:bookmarkEnd w:id="37"/>
      <w:proofErr w:type="spellEnd"/>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7B21E7">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7B21E7">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7B21E7">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7B21E7">
      <w:pPr>
        <w:pStyle w:val="Heading2"/>
      </w:pPr>
    </w:p>
    <w:p w14:paraId="1BFB1E38" w14:textId="1301403A" w:rsidR="00685639" w:rsidRPr="00497F76" w:rsidRDefault="00D04339" w:rsidP="007B21E7">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7B21E7">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7B21E7">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36BE7321" w14:textId="78EC9868" w:rsidR="00A92372"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3954C6CB" w14:textId="77777777" w:rsidR="00A92372" w:rsidRDefault="00A92372" w:rsidP="00565C53">
      <w:pPr>
        <w:rPr>
          <w:rFonts w:ascii="Times New Roman" w:hAnsi="Times New Roman" w:cs="Times New Roman"/>
          <w:sz w:val="24"/>
          <w:szCs w:val="24"/>
          <w:lang w:val="en-US"/>
        </w:rPr>
      </w:pPr>
    </w:p>
    <w:p w14:paraId="741A5362"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L'enseignement des langues a évolué des méthodes de traduction grammaticale, centrées sur la mémorisation et la précision, vers des approches communicatives privilégiant l'interaction authentique (Richards &amp; Rodgers, 2014).</w:t>
      </w:r>
    </w:p>
    <w:p w14:paraId="30FDBF34"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Cependant, quelle que soit l'approche pédagogique adoptée, une constante demeure : les enseignants doivent traduire ces principes méthodologiques en pratique concrète de classe à travers la planification de cours.</w:t>
      </w:r>
    </w:p>
    <w:p w14:paraId="119CF740" w14:textId="77777777" w:rsidR="00A92372" w:rsidRPr="00A92372" w:rsidRDefault="00A92372" w:rsidP="00A92372">
      <w:pPr>
        <w:rPr>
          <w:rFonts w:ascii="Times New Roman" w:hAnsi="Times New Roman" w:cs="Times New Roman"/>
          <w:sz w:val="24"/>
          <w:szCs w:val="24"/>
        </w:rPr>
      </w:pPr>
    </w:p>
    <w:p w14:paraId="4DC5FF0E"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1)</w:t>
      </w:r>
      <w:r w:rsidRPr="00A92372">
        <w:rPr>
          <w:rFonts w:ascii="Times New Roman" w:hAnsi="Times New Roman" w:cs="Times New Roman"/>
          <w:sz w:val="24"/>
          <w:szCs w:val="24"/>
        </w:rPr>
        <w:tab/>
        <w:t>L'évolution technologique et la planification des cours en enseignement des langues</w:t>
      </w:r>
    </w:p>
    <w:p w14:paraId="3FD6ADC1" w14:textId="77777777" w:rsidR="00A92372" w:rsidRPr="00A92372" w:rsidRDefault="00A92372" w:rsidP="00A92372">
      <w:pPr>
        <w:rPr>
          <w:rFonts w:ascii="Times New Roman" w:hAnsi="Times New Roman" w:cs="Times New Roman"/>
          <w:sz w:val="24"/>
          <w:szCs w:val="24"/>
        </w:rPr>
      </w:pPr>
    </w:p>
    <w:p w14:paraId="29D48DA5"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 (Borg, 2003).</w:t>
      </w:r>
    </w:p>
    <w:p w14:paraId="5A4AC62F" w14:textId="77777777" w:rsidR="00A92372" w:rsidRPr="00A92372" w:rsidRDefault="00A92372" w:rsidP="00A92372">
      <w:pPr>
        <w:rPr>
          <w:rFonts w:ascii="Times New Roman" w:hAnsi="Times New Roman" w:cs="Times New Roman"/>
          <w:sz w:val="24"/>
          <w:szCs w:val="24"/>
        </w:rPr>
      </w:pPr>
    </w:p>
    <w:p w14:paraId="01A1F1B7" w14:textId="77777777" w:rsidR="00A92372" w:rsidRPr="007B21E7" w:rsidRDefault="00A92372" w:rsidP="00A92372">
      <w:pPr>
        <w:rPr>
          <w:rFonts w:ascii="Times New Roman" w:hAnsi="Times New Roman" w:cs="Times New Roman"/>
          <w:sz w:val="24"/>
          <w:szCs w:val="24"/>
        </w:rPr>
      </w:pPr>
      <w:r w:rsidRPr="00A92372">
        <w:rPr>
          <w:rFonts w:ascii="Times New Roman" w:hAnsi="Times New Roman" w:cs="Times New Roman"/>
          <w:sz w:val="24"/>
          <w:szCs w:val="24"/>
        </w:rPr>
        <w:lastRenderedPageBreak/>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 (</w:t>
      </w:r>
      <w:proofErr w:type="spellStart"/>
      <w:r w:rsidRPr="00A92372">
        <w:rPr>
          <w:rFonts w:ascii="Times New Roman" w:hAnsi="Times New Roman" w:cs="Times New Roman"/>
          <w:sz w:val="24"/>
          <w:szCs w:val="24"/>
        </w:rPr>
        <w:t>Warschauer</w:t>
      </w:r>
      <w:proofErr w:type="spellEnd"/>
      <w:r w:rsidRPr="00A92372">
        <w:rPr>
          <w:rFonts w:ascii="Times New Roman" w:hAnsi="Times New Roman" w:cs="Times New Roman"/>
          <w:sz w:val="24"/>
          <w:szCs w:val="24"/>
        </w:rPr>
        <w:t xml:space="preserve"> et Healey,1998). </w:t>
      </w:r>
      <w:r w:rsidRPr="007B21E7">
        <w:rPr>
          <w:rFonts w:ascii="Times New Roman" w:hAnsi="Times New Roman" w:cs="Times New Roman"/>
          <w:sz w:val="24"/>
          <w:szCs w:val="24"/>
        </w:rPr>
        <w:t xml:space="preserve">Malgré la présence de ces outils numériques, c’étaient toujours les enseignants qui imaginaient l’organisation de l’enseignement. Les logiciels n’étaient là qu’en </w:t>
      </w:r>
      <w:proofErr w:type="gramStart"/>
      <w:r w:rsidRPr="007B21E7">
        <w:rPr>
          <w:rFonts w:ascii="Times New Roman" w:hAnsi="Times New Roman" w:cs="Times New Roman"/>
          <w:sz w:val="24"/>
          <w:szCs w:val="24"/>
        </w:rPr>
        <w:t>appui;</w:t>
      </w:r>
      <w:proofErr w:type="gramEnd"/>
      <w:r w:rsidRPr="007B21E7">
        <w:rPr>
          <w:rFonts w:ascii="Times New Roman" w:hAnsi="Times New Roman" w:cs="Times New Roman"/>
          <w:sz w:val="24"/>
          <w:szCs w:val="24"/>
        </w:rPr>
        <w:t xml:space="preserve"> ils ne concevaient pas le contenu pédagogique eux-mêmes.</w:t>
      </w:r>
    </w:p>
    <w:p w14:paraId="3CC29787" w14:textId="77777777" w:rsidR="00A92372" w:rsidRPr="007B21E7" w:rsidRDefault="00A92372" w:rsidP="00A92372">
      <w:pPr>
        <w:rPr>
          <w:rFonts w:ascii="Times New Roman" w:hAnsi="Times New Roman" w:cs="Times New Roman"/>
          <w:sz w:val="24"/>
          <w:szCs w:val="24"/>
        </w:rPr>
      </w:pPr>
    </w:p>
    <w:p w14:paraId="103BE9A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Aujourd’hui, l’IA générative change la donne. Avec des interfaces comme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il suffit de rédiger une consigne pour générer instantanément un plan de cours, des exercices ou des explications (Mishra et al., 2025). Cette mutation oblige les enseignants à développer un autre type de discernement </w:t>
      </w:r>
      <w:proofErr w:type="gramStart"/>
      <w:r w:rsidRPr="007B21E7">
        <w:rPr>
          <w:rFonts w:ascii="Times New Roman" w:hAnsi="Times New Roman" w:cs="Times New Roman"/>
          <w:sz w:val="24"/>
          <w:szCs w:val="24"/>
        </w:rPr>
        <w:t>pédagogique:</w:t>
      </w:r>
      <w:proofErr w:type="gramEnd"/>
      <w:r w:rsidRPr="007B21E7">
        <w:rPr>
          <w:rFonts w:ascii="Times New Roman" w:hAnsi="Times New Roman" w:cs="Times New Roman"/>
          <w:sz w:val="24"/>
          <w:szCs w:val="24"/>
        </w:rP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 usages (Cadre d’usage de l’IA en éducation, 2025).</w:t>
      </w:r>
    </w:p>
    <w:p w14:paraId="657FF8F8" w14:textId="77777777" w:rsidR="00A92372" w:rsidRPr="007B21E7" w:rsidRDefault="00A92372" w:rsidP="00A92372">
      <w:pPr>
        <w:rPr>
          <w:rFonts w:ascii="Times New Roman" w:hAnsi="Times New Roman" w:cs="Times New Roman"/>
          <w:sz w:val="24"/>
          <w:szCs w:val="24"/>
        </w:rPr>
      </w:pPr>
    </w:p>
    <w:p w14:paraId="797F369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205EC375" w14:textId="77777777" w:rsidR="00A92372" w:rsidRPr="007B21E7" w:rsidRDefault="00A92372" w:rsidP="00A92372">
      <w:pPr>
        <w:rPr>
          <w:rFonts w:ascii="Times New Roman" w:hAnsi="Times New Roman" w:cs="Times New Roman"/>
          <w:sz w:val="24"/>
          <w:szCs w:val="24"/>
        </w:rPr>
      </w:pPr>
    </w:p>
    <w:p w14:paraId="6E7D2F9A"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(a)</w:t>
      </w:r>
      <w:r w:rsidRPr="007B21E7">
        <w:rPr>
          <w:rFonts w:ascii="Times New Roman" w:hAnsi="Times New Roman" w:cs="Times New Roman"/>
          <w:sz w:val="24"/>
          <w:szCs w:val="24"/>
        </w:rPr>
        <w:tab/>
        <w:t>La planification des cours dans l'enseignement des langues avant l'IA</w:t>
      </w:r>
    </w:p>
    <w:p w14:paraId="53980774" w14:textId="77777777" w:rsidR="00A92372" w:rsidRPr="007B21E7" w:rsidRDefault="00A92372" w:rsidP="00A92372">
      <w:pPr>
        <w:rPr>
          <w:rFonts w:ascii="Times New Roman" w:hAnsi="Times New Roman" w:cs="Times New Roman"/>
          <w:sz w:val="24"/>
          <w:szCs w:val="24"/>
        </w:rPr>
      </w:pPr>
    </w:p>
    <w:p w14:paraId="0A62C52F"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(Borg, 2003). Cette base, fondée sur une planification des cours menée par les </w:t>
      </w:r>
      <w:r w:rsidRPr="007B21E7">
        <w:rPr>
          <w:rFonts w:ascii="Times New Roman" w:hAnsi="Times New Roman" w:cs="Times New Roman"/>
          <w:sz w:val="24"/>
          <w:szCs w:val="24"/>
        </w:rPr>
        <w:lastRenderedPageBreak/>
        <w:t>enseignants eux-mêmes, devient essentielle pour comprendre comment ces derniers se sont ensuite adaptés à de nouveaux outils, notamment l'IA générative.</w:t>
      </w:r>
    </w:p>
    <w:p w14:paraId="0A335FF6" w14:textId="77777777" w:rsidR="00A92372" w:rsidRPr="007B21E7" w:rsidRDefault="00A92372" w:rsidP="00A92372">
      <w:pPr>
        <w:rPr>
          <w:rFonts w:ascii="Times New Roman" w:hAnsi="Times New Roman" w:cs="Times New Roman"/>
          <w:sz w:val="24"/>
          <w:szCs w:val="24"/>
        </w:rPr>
      </w:pPr>
    </w:p>
    <w:p w14:paraId="6FF5299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(b)</w:t>
      </w:r>
      <w:r w:rsidRPr="007B21E7">
        <w:rPr>
          <w:rFonts w:ascii="Times New Roman" w:hAnsi="Times New Roman" w:cs="Times New Roman"/>
          <w:sz w:val="24"/>
          <w:szCs w:val="24"/>
        </w:rPr>
        <w:tab/>
        <w:t>L'émergence des TICE dans l'apprentissage des langues</w:t>
      </w:r>
    </w:p>
    <w:p w14:paraId="2B48B1A3" w14:textId="77777777" w:rsidR="00A92372" w:rsidRPr="007B21E7" w:rsidRDefault="00A92372" w:rsidP="00A92372">
      <w:pPr>
        <w:rPr>
          <w:rFonts w:ascii="Times New Roman" w:hAnsi="Times New Roman" w:cs="Times New Roman"/>
          <w:sz w:val="24"/>
          <w:szCs w:val="24"/>
        </w:rPr>
      </w:pPr>
    </w:p>
    <w:p w14:paraId="1ED38DC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Les outils numériques ont progressivement fait leur entrée dans les classes de langues par le biais de l'Apprentissage des Langues Assisté par Ordinateur (ALAO) où « Computer-</w:t>
      </w:r>
      <w:proofErr w:type="spellStart"/>
      <w:r w:rsidRPr="007B21E7">
        <w:rPr>
          <w:rFonts w:ascii="Times New Roman" w:hAnsi="Times New Roman" w:cs="Times New Roman"/>
          <w:sz w:val="24"/>
          <w:szCs w:val="24"/>
        </w:rPr>
        <w:t>Assisted</w:t>
      </w:r>
      <w:proofErr w:type="spellEnd"/>
      <w:r w:rsidRPr="007B21E7">
        <w:rPr>
          <w:rFonts w:ascii="Times New Roman" w:hAnsi="Times New Roman" w:cs="Times New Roman"/>
          <w:sz w:val="24"/>
          <w:szCs w:val="24"/>
        </w:rPr>
        <w:t xml:space="preserve"> </w:t>
      </w:r>
      <w:proofErr w:type="spellStart"/>
      <w:r w:rsidRPr="007B21E7">
        <w:rPr>
          <w:rFonts w:ascii="Times New Roman" w:hAnsi="Times New Roman" w:cs="Times New Roman"/>
          <w:sz w:val="24"/>
          <w:szCs w:val="24"/>
        </w:rPr>
        <w:t>Language</w:t>
      </w:r>
      <w:proofErr w:type="spellEnd"/>
      <w:r w:rsidRPr="007B21E7">
        <w:rPr>
          <w:rFonts w:ascii="Times New Roman" w:hAnsi="Times New Roman" w:cs="Times New Roman"/>
          <w:sz w:val="24"/>
          <w:szCs w:val="24"/>
        </w:rPr>
        <w:t xml:space="preserve"> Learning (CALL) », obligeant les enseignants à adapter leurs pratiques de planification pour intégrer ces technologies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34F2399F" w14:textId="77777777" w:rsidR="00A92372" w:rsidRPr="007B21E7" w:rsidRDefault="00A92372" w:rsidP="00A92372">
      <w:pPr>
        <w:rPr>
          <w:rFonts w:ascii="Times New Roman" w:hAnsi="Times New Roman" w:cs="Times New Roman"/>
          <w:sz w:val="24"/>
          <w:szCs w:val="24"/>
        </w:rPr>
      </w:pPr>
    </w:p>
    <w:p w14:paraId="4B99630D"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Cette distinction devient déterminante lorsqu'on considère l'IA générative, qui modifie fondamentalement ce que les enseignants doivent faire dans la planification des cours.</w:t>
      </w:r>
    </w:p>
    <w:p w14:paraId="5679BED7" w14:textId="77777777" w:rsidR="00A92372" w:rsidRPr="007B21E7" w:rsidRDefault="00A92372" w:rsidP="00A92372">
      <w:pPr>
        <w:rPr>
          <w:rFonts w:ascii="Times New Roman" w:hAnsi="Times New Roman" w:cs="Times New Roman"/>
          <w:sz w:val="24"/>
          <w:szCs w:val="24"/>
        </w:rPr>
      </w:pPr>
    </w:p>
    <w:p w14:paraId="179B252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w:t>
      </w:r>
      <w:r w:rsidRPr="007B21E7">
        <w:rPr>
          <w:rFonts w:ascii="Times New Roman" w:hAnsi="Times New Roman" w:cs="Times New Roman"/>
          <w:sz w:val="24"/>
          <w:szCs w:val="24"/>
        </w:rPr>
        <w:tab/>
        <w:t>L'intégration de l'IA générative dans l'apprentissage des langues</w:t>
      </w:r>
    </w:p>
    <w:p w14:paraId="35EC59D3" w14:textId="77777777" w:rsidR="00A92372" w:rsidRPr="007B21E7" w:rsidRDefault="00A92372" w:rsidP="00A92372">
      <w:pPr>
        <w:rPr>
          <w:rFonts w:ascii="Times New Roman" w:hAnsi="Times New Roman" w:cs="Times New Roman"/>
          <w:sz w:val="24"/>
          <w:szCs w:val="24"/>
        </w:rPr>
      </w:pPr>
    </w:p>
    <w:p w14:paraId="473ED0A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désigne les systèmes d'intelligence artificielle capables de produire de nouveaux contenus tels que textes, plans de cours, exercices, à partir d'une instruction fournie </w:t>
      </w:r>
      <w:r w:rsidRPr="007B21E7">
        <w:rPr>
          <w:rFonts w:ascii="Times New Roman" w:hAnsi="Times New Roman" w:cs="Times New Roman"/>
          <w:sz w:val="24"/>
          <w:szCs w:val="24"/>
        </w:rPr>
        <w:lastRenderedPageBreak/>
        <w:t>par l'utilisateur (Mishra et al., 2025).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(Morgan, 2025). 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4FD6E70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(d)</w:t>
      </w:r>
      <w:r w:rsidRPr="007B21E7">
        <w:rPr>
          <w:rFonts w:ascii="Times New Roman" w:hAnsi="Times New Roman" w:cs="Times New Roman"/>
          <w:sz w:val="24"/>
          <w:szCs w:val="24"/>
        </w:rPr>
        <w:tab/>
        <w:t>Le système éducatif français et l'IA</w:t>
      </w:r>
    </w:p>
    <w:p w14:paraId="02694A37" w14:textId="77777777" w:rsidR="00A92372" w:rsidRPr="007B21E7" w:rsidRDefault="00A92372" w:rsidP="00A92372">
      <w:pPr>
        <w:rPr>
          <w:rFonts w:ascii="Times New Roman" w:hAnsi="Times New Roman" w:cs="Times New Roman"/>
          <w:sz w:val="24"/>
          <w:szCs w:val="24"/>
        </w:rPr>
      </w:pPr>
    </w:p>
    <w:p w14:paraId="1C50D794"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L'utilisation de l'IA générative est autorisée dans l'enseignement secondaire, à condition que les utilisateurs respectent les réglementations fixées par le ministère de l'Éducation nationale (Cadre d’usage de l’IA en éducation, 2025). Son usage est permis dans la mesure où elle constitue un outil pédagogique et n'implique pas le traitement de données personnelles, sensibles ou institutionnelles dans un cadre public (La protection des élèves et de leurs données sur Internet, 2019).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46B1A10" w14:textId="77777777" w:rsidR="00A92372" w:rsidRPr="007B21E7" w:rsidRDefault="00A92372" w:rsidP="00A92372">
      <w:pPr>
        <w:rPr>
          <w:rFonts w:ascii="Times New Roman" w:hAnsi="Times New Roman" w:cs="Times New Roman"/>
          <w:sz w:val="24"/>
          <w:szCs w:val="24"/>
        </w:rPr>
      </w:pPr>
    </w:p>
    <w:p w14:paraId="7BD3CBB9"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est un phénomène relativement récent qui a rapidement gagné en popularité après le lancement de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en 2022, grâce à la flexibilité qu'il offre et à des résultats adaptés à chaque </w:t>
      </w:r>
      <w:proofErr w:type="gramStart"/>
      <w:r w:rsidRPr="007B21E7">
        <w:rPr>
          <w:rFonts w:ascii="Times New Roman" w:hAnsi="Times New Roman" w:cs="Times New Roman"/>
          <w:sz w:val="24"/>
          <w:szCs w:val="24"/>
        </w:rPr>
        <w:t>utilisateur(</w:t>
      </w:r>
      <w:proofErr w:type="gramEnd"/>
      <w:r w:rsidRPr="007B21E7">
        <w:rPr>
          <w:rFonts w:ascii="Times New Roman" w:hAnsi="Times New Roman" w:cs="Times New Roman"/>
          <w:sz w:val="24"/>
          <w:szCs w:val="24"/>
        </w:rPr>
        <w:t xml:space="preserve">Liu &amp; Wang, 2024). Cependant, dans le contexte éducatif français, les études se concentrent majoritairement sur les usages par les apprenants ou proposent des guides </w:t>
      </w:r>
      <w:r w:rsidRPr="007B21E7">
        <w:rPr>
          <w:rFonts w:ascii="Times New Roman" w:hAnsi="Times New Roman" w:cs="Times New Roman"/>
          <w:sz w:val="24"/>
          <w:szCs w:val="24"/>
        </w:rPr>
        <w:lastRenderedPageBreak/>
        <w:t xml:space="preserve">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397DB72D" w14:textId="073B785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173E0F09" w14:textId="77777777" w:rsidR="004A5A3F" w:rsidRPr="007B21E7" w:rsidRDefault="004A5A3F" w:rsidP="00565C53">
      <w:pPr>
        <w:rPr>
          <w:rFonts w:ascii="Times New Roman" w:hAnsi="Times New Roman" w:cs="Times New Roman"/>
          <w:sz w:val="24"/>
          <w:szCs w:val="24"/>
        </w:rPr>
      </w:pPr>
    </w:p>
    <w:p w14:paraId="6E419DB2" w14:textId="690303A3" w:rsidR="00565C53" w:rsidRPr="004126DF" w:rsidRDefault="00D60A92" w:rsidP="007B21E7">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7B21E7">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7B21E7">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7B21E7">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7B21E7">
      <w:pPr>
        <w:pStyle w:val="Heading2"/>
      </w:pPr>
      <w:bookmarkStart w:id="54" w:name="_Toc230973444"/>
      <w:r w:rsidRPr="004126DF">
        <w:t>Adaptation and flexibility in lesson design</w:t>
      </w:r>
      <w:bookmarkEnd w:id="54"/>
    </w:p>
    <w:p w14:paraId="7E78A63C"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Teachers rarely implement lessons exactly as planned. Rather than treating curriculum materials as rigid scripts, educators adapt them to align with their specific classroom context. This flexibility is essential because no two student groups are identical, and learning objectives must remain fluid to match the actual needs of each group.</w:t>
      </w:r>
    </w:p>
    <w:p w14:paraId="758E48D9"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6E8DB32D" w14:textId="516D45C6"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 xml:space="preserve">Research demonstrates that this adaptation is systematically driven by student proficiency levels (Richards, 1998). To bridge the gap between standardized curriculum and classroom </w:t>
      </w:r>
      <w:r w:rsidRPr="00B7234F">
        <w:rPr>
          <w:rFonts w:ascii="Times New Roman" w:eastAsia="Times New Roman" w:hAnsi="Times New Roman" w:cs="Times New Roman"/>
          <w:color w:val="000000"/>
          <w:sz w:val="24"/>
          <w:szCs w:val="24"/>
          <w:lang w:val="en-FR" w:eastAsia="en-GB"/>
        </w:rPr>
        <w:lastRenderedPageBreak/>
        <w:t>realities, teachers modify lesson objectives and content, whether by simplifying vocabulary, adding targeted practice, or redesigning activities to address learning gaps. This iterative process of material adaptation is a deliberate intellectual exercise, guided by teacher reasoning and professional experience (Breen et al., 2001).</w:t>
      </w:r>
    </w:p>
    <w:p w14:paraId="71611B92" w14:textId="722E597E"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FD38694" w14:textId="681AAB86"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noProof/>
          <w:sz w:val="24"/>
          <w:szCs w:val="24"/>
          <w:bdr w:val="none" w:sz="0" w:space="0" w:color="auto" w:frame="1"/>
          <w:lang w:val="en-FR" w:eastAsia="en-GB"/>
        </w:rPr>
        <w:drawing>
          <wp:anchor distT="0" distB="0" distL="114300" distR="114300" simplePos="0" relativeHeight="251659265" behindDoc="0" locked="0" layoutInCell="1" allowOverlap="1" wp14:anchorId="213EBA2A" wp14:editId="2F620DEC">
            <wp:simplePos x="0" y="0"/>
            <wp:positionH relativeFrom="column">
              <wp:posOffset>1379220</wp:posOffset>
            </wp:positionH>
            <wp:positionV relativeFrom="paragraph">
              <wp:posOffset>66344</wp:posOffset>
            </wp:positionV>
            <wp:extent cx="3233420" cy="3405505"/>
            <wp:effectExtent l="0" t="0" r="5080" b="0"/>
            <wp:wrapNone/>
            <wp:docPr id="1070306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6525"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3420" cy="3405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64FA0" w14:textId="1D010E64"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7D6DD86" w14:textId="5E3164FD"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93B8D77"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E0C809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2900634" w14:textId="6C0DA741"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FE58B3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C69900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B22A224" w14:textId="43591E63"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68481E0"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D1FB969" w14:textId="18AEF8F4"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sz w:val="24"/>
          <w:szCs w:val="24"/>
          <w:lang w:val="en-FR" w:eastAsia="en-GB"/>
        </w:rPr>
        <w:br/>
      </w:r>
    </w:p>
    <w:p w14:paraId="7B9D2A9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8CC93B8"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6BCD57B"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6D240F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FF8E95C"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776888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D6EF171"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55C8A9E"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2AFC6BB"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518D8EB" w14:textId="732D63FE" w:rsidR="00B7234F" w:rsidRPr="00B7234F" w:rsidRDefault="00B7234F" w:rsidP="00B7234F">
      <w:pPr>
        <w:pStyle w:val="Caption"/>
        <w:rPr>
          <w:rFonts w:ascii="Times New Roman" w:eastAsia="Times New Roman" w:hAnsi="Times New Roman" w:cs="Times New Roman"/>
          <w:sz w:val="24"/>
          <w:szCs w:val="24"/>
          <w:lang w:val="en-FR" w:eastAsia="en-GB"/>
        </w:rPr>
      </w:pPr>
      <w:r w:rsidRPr="00B7234F">
        <w:rPr>
          <w:lang w:val="en-US"/>
        </w:rPr>
        <w:t xml:space="preserve">Figure </w:t>
      </w:r>
      <w:r>
        <w:fldChar w:fldCharType="begin"/>
      </w:r>
      <w:r w:rsidRPr="00B7234F">
        <w:rPr>
          <w:lang w:val="en-US"/>
        </w:rPr>
        <w:instrText xml:space="preserve"> SEQ Figure \* ARABIC </w:instrText>
      </w:r>
      <w:r>
        <w:fldChar w:fldCharType="separate"/>
      </w:r>
      <w:r w:rsidRPr="00B7234F">
        <w:rPr>
          <w:noProof/>
          <w:lang w:val="en-US"/>
        </w:rPr>
        <w:t>1</w:t>
      </w:r>
      <w:r>
        <w:fldChar w:fldCharType="end"/>
      </w:r>
      <w:r w:rsidRPr="00B7234F">
        <w:rPr>
          <w:rFonts w:ascii="Times New Roman" w:eastAsia="Times New Roman" w:hAnsi="Times New Roman" w:cs="Times New Roman"/>
          <w:color w:val="000000"/>
          <w:sz w:val="24"/>
          <w:szCs w:val="24"/>
          <w:lang w:val="en-FR" w:eastAsia="en-GB"/>
        </w:rPr>
        <w:t>A model of language classroom pedagogy showing the relationship between classroom activities, student needs, students' contributions, and teacher responsibilities. Source: Breen et al. (2001, p. 483).</w:t>
      </w:r>
    </w:p>
    <w:p w14:paraId="35469F2A"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7154E865"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Ultimately, this capacity for flexibility has significant implications for lesson quality. When teachers actively adapt materials to fit their specific learners, they can anticipate learning obstacles and design relevant experiences that address individual needs. This responsiveness improves learning outcomes, proving that material adaptation is not optional, but central to responsive teaching.</w:t>
      </w:r>
    </w:p>
    <w:p w14:paraId="2B3166C2" w14:textId="77777777" w:rsidR="00D121D5" w:rsidRDefault="00D121D5" w:rsidP="00BA1236">
      <w:pPr>
        <w:spacing w:line="259" w:lineRule="auto"/>
        <w:jc w:val="left"/>
        <w:rPr>
          <w:rFonts w:ascii="Times New Roman" w:eastAsia="Times New Roman" w:hAnsi="Times New Roman" w:cs="Times New Roman"/>
          <w:sz w:val="24"/>
          <w:szCs w:val="24"/>
          <w:lang w:val="en-FR" w:eastAsia="en-GB"/>
        </w:rPr>
      </w:pPr>
    </w:p>
    <w:p w14:paraId="5B030F78" w14:textId="464D372B" w:rsidR="007B21E7" w:rsidRPr="007B21E7" w:rsidRDefault="007B21E7" w:rsidP="007B21E7">
      <w:pPr>
        <w:pStyle w:val="Heading2"/>
        <w:rPr>
          <w:b/>
          <w:bCs/>
          <w:lang w:val="en-FR"/>
        </w:rPr>
      </w:pPr>
      <w:r w:rsidRPr="007B21E7">
        <w:rPr>
          <w:rStyle w:val="Strong"/>
          <w:b w:val="0"/>
          <w:bCs w:val="0"/>
        </w:rPr>
        <w:t>Technology Adoption in Education</w:t>
      </w:r>
    </w:p>
    <w:p w14:paraId="1F75650F" w14:textId="77777777" w:rsidR="007B21E7" w:rsidRDefault="007B21E7" w:rsidP="007B21E7">
      <w:pPr>
        <w:pStyle w:val="font-claude-response-body"/>
      </w:pPr>
      <w:r>
        <w:t xml:space="preserve">Technology adoption in education is not automatic. While new tools become available, teachers decide whether and how to integrate them based on complex psychological, institutional, and pedagogical factors. Understanding these adoption processes is essential for understanding how teachers will evaluate generative AI. This section examines what technology adoption is, key theoretical frameworks explaining adoption decisions, barriers </w:t>
      </w:r>
      <w:r>
        <w:lastRenderedPageBreak/>
        <w:t>teachers face, and how these apply specifically to language teachers using AI for lesson planning.</w:t>
      </w:r>
    </w:p>
    <w:p w14:paraId="75B2AA97" w14:textId="77777777" w:rsidR="007B21E7" w:rsidRDefault="00D038B4" w:rsidP="007B21E7">
      <w:r>
        <w:rPr>
          <w:noProof/>
        </w:rPr>
        <w:pict w14:anchorId="67A396DC">
          <v:rect id="_x0000_i1025" alt="" style="width:451.3pt;height:.05pt;mso-width-percent:0;mso-height-percent:0;mso-width-percent:0;mso-height-percent:0" o:hralign="center" o:hrstd="t" o:hr="t" fillcolor="#a0a0a0" stroked="f"/>
        </w:pict>
      </w:r>
    </w:p>
    <w:p w14:paraId="676B0B4C" w14:textId="3C44905C" w:rsidR="007B21E7" w:rsidRDefault="007B21E7" w:rsidP="007B21E7">
      <w:pPr>
        <w:pStyle w:val="Heading3"/>
      </w:pPr>
      <w:r>
        <w:rPr>
          <w:rStyle w:val="Strong"/>
          <w:b/>
          <w:bCs w:val="0"/>
        </w:rPr>
        <w:t xml:space="preserve">3.1 </w:t>
      </w:r>
      <w:proofErr w:type="spellStart"/>
      <w:r>
        <w:rPr>
          <w:rStyle w:val="Strong"/>
          <w:b/>
          <w:bCs w:val="0"/>
        </w:rPr>
        <w:t>Defining</w:t>
      </w:r>
      <w:proofErr w:type="spellEnd"/>
      <w:r>
        <w:rPr>
          <w:rStyle w:val="Strong"/>
          <w:b/>
          <w:bCs w:val="0"/>
        </w:rPr>
        <w:t xml:space="preserve"> </w:t>
      </w:r>
      <w:proofErr w:type="spellStart"/>
      <w:r>
        <w:rPr>
          <w:rStyle w:val="Strong"/>
          <w:b/>
          <w:bCs w:val="0"/>
        </w:rPr>
        <w:t>Technology</w:t>
      </w:r>
      <w:proofErr w:type="spellEnd"/>
      <w:r>
        <w:rPr>
          <w:rStyle w:val="Strong"/>
          <w:b/>
          <w:bCs w:val="0"/>
        </w:rPr>
        <w:t xml:space="preserve"> Adoption</w:t>
      </w:r>
      <w:r>
        <w:t xml:space="preserve"> </w:t>
      </w:r>
    </w:p>
    <w:p w14:paraId="109D5926" w14:textId="7EF3D1A9" w:rsidR="007B21E7" w:rsidRDefault="007B21E7" w:rsidP="007B21E7">
      <w:pPr>
        <w:pStyle w:val="font-claude-response-body"/>
      </w:pPr>
      <w:r>
        <w:rPr>
          <w:rStyle w:val="Strong"/>
          <w:rFonts w:eastAsiaTheme="majorEastAsia"/>
        </w:rPr>
        <w:t>Sources:</w:t>
      </w:r>
      <w:r>
        <w:t xml:space="preserve"> Straub (2009)</w:t>
      </w:r>
      <w:r>
        <w:rPr>
          <w:rStyle w:val="Strong"/>
          <w:rFonts w:eastAsiaTheme="majorEastAsia"/>
        </w:rPr>
        <w:t>:</w:t>
      </w:r>
    </w:p>
    <w:p w14:paraId="7F71C7EA" w14:textId="77777777" w:rsidR="007B21E7" w:rsidRDefault="007B21E7" w:rsidP="007B21E7">
      <w:pPr>
        <w:pStyle w:val="font-claude-response-body"/>
        <w:numPr>
          <w:ilvl w:val="0"/>
          <w:numId w:val="19"/>
        </w:numPr>
      </w:pPr>
      <w:r>
        <w:t>What is technology adoption? (Not just buying a tool, but integrating it into practice)</w:t>
      </w:r>
    </w:p>
    <w:p w14:paraId="4B0F564A" w14:textId="77777777" w:rsidR="007B21E7" w:rsidRDefault="007B21E7" w:rsidP="007B21E7">
      <w:pPr>
        <w:pStyle w:val="font-claude-response-body"/>
        <w:numPr>
          <w:ilvl w:val="0"/>
          <w:numId w:val="19"/>
        </w:numPr>
      </w:pPr>
      <w:r>
        <w:t>Why does it matter for understanding teacher practice?</w:t>
      </w:r>
    </w:p>
    <w:p w14:paraId="266E3F82" w14:textId="77777777" w:rsidR="007B21E7" w:rsidRDefault="007B21E7" w:rsidP="007B21E7">
      <w:pPr>
        <w:pStyle w:val="font-claude-response-body"/>
        <w:numPr>
          <w:ilvl w:val="0"/>
          <w:numId w:val="19"/>
        </w:numPr>
      </w:pPr>
      <w:r>
        <w:t>Brief mention of adoption as a process, not an event</w:t>
      </w:r>
    </w:p>
    <w:p w14:paraId="6E8723E8" w14:textId="0647FA7F" w:rsidR="007B21E7" w:rsidRPr="007B21E7" w:rsidRDefault="007B21E7" w:rsidP="007B21E7">
      <w:pPr>
        <w:pStyle w:val="Heading3"/>
        <w:rPr>
          <w:lang w:val="en-US"/>
        </w:rPr>
      </w:pPr>
      <w:r w:rsidRPr="007B21E7">
        <w:rPr>
          <w:rStyle w:val="Strong"/>
          <w:b/>
          <w:bCs w:val="0"/>
          <w:lang w:val="en-US"/>
        </w:rPr>
        <w:t>3.2 Theoretical Frameworks for Understanding Adoption</w:t>
      </w:r>
      <w:r w:rsidRPr="007B21E7">
        <w:rPr>
          <w:lang w:val="en-US"/>
        </w:rPr>
        <w:t xml:space="preserve"> </w:t>
      </w:r>
    </w:p>
    <w:p w14:paraId="517978A3" w14:textId="77777777" w:rsidR="007B21E7" w:rsidRDefault="007B21E7" w:rsidP="007B21E7">
      <w:pPr>
        <w:pStyle w:val="font-claude-response-body"/>
      </w:pPr>
      <w:r>
        <w:rPr>
          <w:rStyle w:val="Strong"/>
          <w:rFonts w:eastAsiaTheme="majorEastAsia"/>
        </w:rPr>
        <w:t>Sources:</w:t>
      </w:r>
      <w:r>
        <w:t xml:space="preserve"> Davis (1989), Rogers (2003), Straub (2009) </w:t>
      </w:r>
      <w:r>
        <w:rPr>
          <w:rStyle w:val="Strong"/>
          <w:rFonts w:eastAsiaTheme="majorEastAsia"/>
        </w:rPr>
        <w:t>Content:</w:t>
      </w:r>
    </w:p>
    <w:p w14:paraId="3C15DAB5" w14:textId="77777777" w:rsidR="007B21E7" w:rsidRDefault="007B21E7" w:rsidP="007B21E7">
      <w:pPr>
        <w:pStyle w:val="font-claude-response-body"/>
        <w:numPr>
          <w:ilvl w:val="0"/>
          <w:numId w:val="20"/>
        </w:numPr>
      </w:pPr>
      <w:r>
        <w:t>TAM (Technology Acceptance Model): Perceived Usefulness + Perceived Ease of Use</w:t>
      </w:r>
    </w:p>
    <w:p w14:paraId="2D743543" w14:textId="77777777" w:rsidR="007B21E7" w:rsidRDefault="007B21E7" w:rsidP="007B21E7">
      <w:pPr>
        <w:pStyle w:val="font-claude-response-body"/>
        <w:numPr>
          <w:ilvl w:val="0"/>
          <w:numId w:val="20"/>
        </w:numPr>
      </w:pPr>
      <w:r>
        <w:t>Rogers' Diffusion of Innovations: Relative advantage, compatibility, complexity, trialability, observability</w:t>
      </w:r>
    </w:p>
    <w:p w14:paraId="5E2C0735" w14:textId="77777777" w:rsidR="007B21E7" w:rsidRDefault="007B21E7" w:rsidP="007B21E7">
      <w:pPr>
        <w:pStyle w:val="font-claude-response-body"/>
        <w:numPr>
          <w:ilvl w:val="0"/>
          <w:numId w:val="20"/>
        </w:numPr>
      </w:pPr>
      <w:r>
        <w:t>How these frameworks apply to teacher decision-making</w:t>
      </w:r>
    </w:p>
    <w:p w14:paraId="5A1D5B1D" w14:textId="1B7477C3" w:rsidR="007B21E7" w:rsidRPr="007B21E7" w:rsidRDefault="007B21E7" w:rsidP="007B21E7">
      <w:pPr>
        <w:pStyle w:val="Heading3"/>
      </w:pPr>
      <w:r w:rsidRPr="007B21E7">
        <w:rPr>
          <w:rStyle w:val="Strong"/>
          <w:b/>
          <w:bCs w:val="0"/>
        </w:rPr>
        <w:t xml:space="preserve">3.3 </w:t>
      </w:r>
      <w:proofErr w:type="spellStart"/>
      <w:r w:rsidRPr="007B21E7">
        <w:rPr>
          <w:rStyle w:val="Strong"/>
          <w:b/>
          <w:bCs w:val="0"/>
        </w:rPr>
        <w:t>Barriers</w:t>
      </w:r>
      <w:proofErr w:type="spellEnd"/>
      <w:r w:rsidRPr="007B21E7">
        <w:rPr>
          <w:rStyle w:val="Strong"/>
          <w:b/>
          <w:bCs w:val="0"/>
        </w:rPr>
        <w:t xml:space="preserve"> and </w:t>
      </w:r>
      <w:proofErr w:type="spellStart"/>
      <w:r w:rsidRPr="007B21E7">
        <w:rPr>
          <w:rStyle w:val="Strong"/>
          <w:b/>
          <w:bCs w:val="0"/>
        </w:rPr>
        <w:t>Factors</w:t>
      </w:r>
      <w:proofErr w:type="spellEnd"/>
      <w:r w:rsidRPr="007B21E7">
        <w:rPr>
          <w:rStyle w:val="Strong"/>
          <w:b/>
          <w:bCs w:val="0"/>
        </w:rPr>
        <w:t xml:space="preserve"> </w:t>
      </w:r>
      <w:proofErr w:type="spellStart"/>
      <w:r w:rsidRPr="007B21E7">
        <w:rPr>
          <w:rStyle w:val="Strong"/>
          <w:b/>
          <w:bCs w:val="0"/>
        </w:rPr>
        <w:t>Influencing</w:t>
      </w:r>
      <w:proofErr w:type="spellEnd"/>
      <w:r w:rsidRPr="007B21E7">
        <w:rPr>
          <w:rStyle w:val="Strong"/>
          <w:b/>
          <w:bCs w:val="0"/>
        </w:rPr>
        <w:t xml:space="preserve"> Adoption</w:t>
      </w:r>
      <w:r w:rsidRPr="007B21E7">
        <w:t xml:space="preserve"> </w:t>
      </w:r>
    </w:p>
    <w:p w14:paraId="333D3FBA" w14:textId="77777777" w:rsidR="007B21E7" w:rsidRDefault="007B21E7" w:rsidP="007B21E7">
      <w:pPr>
        <w:pStyle w:val="font-claude-response-body"/>
      </w:pPr>
      <w:r>
        <w:rPr>
          <w:rStyle w:val="Strong"/>
          <w:rFonts w:eastAsiaTheme="majorEastAsia"/>
        </w:rPr>
        <w:t>Sources:</w:t>
      </w:r>
      <w:r>
        <w:t xml:space="preserve"> Ertmer (2009/2010), Kohnke et al. (2023) </w:t>
      </w:r>
      <w:r>
        <w:rPr>
          <w:rStyle w:val="Strong"/>
          <w:rFonts w:eastAsiaTheme="majorEastAsia"/>
        </w:rPr>
        <w:t>Content:</w:t>
      </w:r>
    </w:p>
    <w:p w14:paraId="4FC29464" w14:textId="77777777" w:rsidR="007B21E7" w:rsidRDefault="007B21E7" w:rsidP="007B21E7">
      <w:pPr>
        <w:pStyle w:val="font-claude-response-body"/>
        <w:numPr>
          <w:ilvl w:val="0"/>
          <w:numId w:val="21"/>
        </w:numPr>
      </w:pPr>
      <w:r>
        <w:t>First-order barriers (external: time, resources, curriculum constraints)</w:t>
      </w:r>
    </w:p>
    <w:p w14:paraId="76C3A7A7" w14:textId="77777777" w:rsidR="007B21E7" w:rsidRDefault="007B21E7" w:rsidP="007B21E7">
      <w:pPr>
        <w:pStyle w:val="font-claude-response-body"/>
        <w:numPr>
          <w:ilvl w:val="0"/>
          <w:numId w:val="21"/>
        </w:numPr>
      </w:pPr>
      <w:r>
        <w:t>Second-order barriers (internal: beliefs, anxiety, professional identity)</w:t>
      </w:r>
    </w:p>
    <w:p w14:paraId="4B039E04" w14:textId="77777777" w:rsidR="007B21E7" w:rsidRDefault="007B21E7" w:rsidP="007B21E7">
      <w:pPr>
        <w:pStyle w:val="font-claude-response-body"/>
        <w:numPr>
          <w:ilvl w:val="0"/>
          <w:numId w:val="21"/>
        </w:numPr>
      </w:pPr>
      <w:r>
        <w:t>Why second-order barriers are often the real obstacle</w:t>
      </w:r>
    </w:p>
    <w:p w14:paraId="64D1CBF4" w14:textId="77777777" w:rsidR="007B21E7" w:rsidRDefault="007B21E7" w:rsidP="007B21E7">
      <w:pPr>
        <w:pStyle w:val="font-claude-response-body"/>
        <w:numPr>
          <w:ilvl w:val="0"/>
          <w:numId w:val="21"/>
        </w:numPr>
      </w:pPr>
      <w:r>
        <w:t>Specific to language teaching context</w:t>
      </w:r>
    </w:p>
    <w:p w14:paraId="5F8A3AF0" w14:textId="5E2327D7" w:rsidR="007B21E7" w:rsidRPr="007B21E7" w:rsidRDefault="007B21E7" w:rsidP="007B21E7">
      <w:pPr>
        <w:pStyle w:val="Heading4"/>
      </w:pPr>
      <w:r w:rsidRPr="007B21E7">
        <w:rPr>
          <w:rStyle w:val="Strong"/>
          <w:b/>
          <w:bCs w:val="0"/>
        </w:rPr>
        <w:t>3.4 Application to Language Teachers and Generative AI</w:t>
      </w:r>
      <w:r w:rsidRPr="007B21E7">
        <w:t xml:space="preserve"> </w:t>
      </w:r>
    </w:p>
    <w:p w14:paraId="5503E739" w14:textId="77777777" w:rsidR="007B21E7" w:rsidRDefault="007B21E7" w:rsidP="007B21E7">
      <w:pPr>
        <w:pStyle w:val="font-claude-response-body"/>
      </w:pPr>
      <w:r>
        <w:rPr>
          <w:rStyle w:val="Strong"/>
          <w:rFonts w:eastAsiaTheme="majorEastAsia"/>
        </w:rPr>
        <w:t>Sources:</w:t>
      </w:r>
      <w:r>
        <w:t xml:space="preserve"> Kohnke et al. (2023), Celik (2023), Lee &amp; Jeon, Decauchelle </w:t>
      </w:r>
      <w:r>
        <w:rPr>
          <w:rStyle w:val="Strong"/>
          <w:rFonts w:eastAsiaTheme="majorEastAsia"/>
        </w:rPr>
        <w:t>Content:</w:t>
      </w:r>
    </w:p>
    <w:p w14:paraId="11CA4DFA" w14:textId="77777777" w:rsidR="007B21E7" w:rsidRDefault="007B21E7" w:rsidP="007B21E7">
      <w:pPr>
        <w:pStyle w:val="font-claude-response-body"/>
        <w:numPr>
          <w:ilvl w:val="0"/>
          <w:numId w:val="22"/>
        </w:numPr>
      </w:pPr>
      <w:r>
        <w:t>How language teachers uniquely evaluate AI (linguistic competence, authentic materials)</w:t>
      </w:r>
    </w:p>
    <w:p w14:paraId="191E2240" w14:textId="77777777" w:rsidR="007B21E7" w:rsidRDefault="007B21E7" w:rsidP="007B21E7">
      <w:pPr>
        <w:pStyle w:val="font-claude-response-body"/>
        <w:numPr>
          <w:ilvl w:val="0"/>
          <w:numId w:val="22"/>
        </w:numPr>
      </w:pPr>
      <w:r>
        <w:t>TPACK framework applied to AI tools</w:t>
      </w:r>
    </w:p>
    <w:p w14:paraId="3414AE18" w14:textId="77777777" w:rsidR="007B21E7" w:rsidRDefault="007B21E7" w:rsidP="007B21E7">
      <w:pPr>
        <w:pStyle w:val="font-claude-response-body"/>
        <w:numPr>
          <w:ilvl w:val="0"/>
          <w:numId w:val="22"/>
        </w:numPr>
      </w:pPr>
      <w:r>
        <w:t>French institutional context and adoption (Decauchelle)</w:t>
      </w:r>
    </w:p>
    <w:p w14:paraId="18679514" w14:textId="77777777" w:rsidR="007B21E7" w:rsidRDefault="007B21E7" w:rsidP="007B21E7">
      <w:pPr>
        <w:pStyle w:val="font-claude-response-body"/>
        <w:numPr>
          <w:ilvl w:val="0"/>
          <w:numId w:val="22"/>
        </w:numPr>
      </w:pPr>
      <w:r>
        <w:t>Transition to why your research matters</w:t>
      </w:r>
    </w:p>
    <w:p w14:paraId="0BF709B8" w14:textId="77777777" w:rsidR="007B21E7" w:rsidRPr="007B21E7" w:rsidRDefault="007B21E7" w:rsidP="00BA1236">
      <w:pPr>
        <w:spacing w:line="259" w:lineRule="auto"/>
        <w:jc w:val="left"/>
        <w:rPr>
          <w:i/>
          <w:sz w:val="24"/>
          <w:lang w:val="en-FR"/>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pPr>
      <w:r w:rsidRPr="00461E4E">
        <w:br w:type="page"/>
      </w:r>
    </w:p>
    <w:p w14:paraId="35C4E50B" w14:textId="0A8B7C9C" w:rsidR="00D121D5" w:rsidRPr="00461E4E" w:rsidRDefault="00D121D5" w:rsidP="005F534B">
      <w:pPr>
        <w:pStyle w:val="Heading1"/>
        <w:rPr>
          <w:rFonts w:eastAsia="Times New Roman"/>
          <w:lang w:eastAsia="en-IN"/>
        </w:rPr>
      </w:pPr>
      <w:bookmarkStart w:id="57" w:name="_Toc230973446"/>
      <w:r w:rsidRPr="00461E4E">
        <w:rPr>
          <w:rFonts w:eastAsia="Times New Roman"/>
          <w:lang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58" w:name="_Toc230973447"/>
      <w:r w:rsidRPr="005F534B">
        <w:rPr>
          <w:rFonts w:eastAsia="Times New Roman"/>
          <w:lang w:val="fr-FR"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3448"/>
      <w:r w:rsidRPr="005F534B">
        <w:rPr>
          <w:lang w:val="fr-FR"/>
        </w:rP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r w:rsidR="005354EA" w:rsidRPr="005F534B">
        <w:rPr>
          <w:color w:val="000000"/>
        </w:rPr>
        <w:t xml:space="preserve">Afdal, H. W., &amp; Maaranen,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67" w:name="_Toc169622417"/>
      <w:bookmarkStart w:id="68" w:name="_Toc169622625"/>
      <w:bookmarkStart w:id="69" w:name="_Toc218677531"/>
      <w:bookmarkStart w:id="70" w:name="_Toc230973449"/>
      <w:bookmarkStart w:id="71" w:name="_Toc105689048"/>
      <w:bookmarkStart w:id="72" w:name="_Toc107222888"/>
      <w:bookmarkStart w:id="73" w:name="_Toc158131120"/>
      <w:bookmarkStart w:id="74" w:name="_Toc158131245"/>
      <w:r w:rsidRPr="00A5062C">
        <w:lastRenderedPageBreak/>
        <w:t>Index</w:t>
      </w:r>
      <w:bookmarkEnd w:id="67"/>
      <w:bookmarkEnd w:id="68"/>
      <w:bookmarkEnd w:id="69"/>
      <w:bookmarkEnd w:id="70"/>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proofErr w:type="spellStart"/>
      <w:r w:rsidRPr="00DA04A1">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5" w:name="_Toc169622418"/>
      <w:bookmarkStart w:id="76" w:name="_Toc169622626"/>
      <w:bookmarkStart w:id="77" w:name="_Toc218677532"/>
      <w:bookmarkStart w:id="78" w:name="_Toc230973450"/>
      <w:r w:rsidRPr="005F534B">
        <w:rPr>
          <w:lang w:val="fr-FR"/>
        </w:rPr>
        <w:lastRenderedPageBreak/>
        <w:t>Table des illustrations</w:t>
      </w:r>
      <w:bookmarkEnd w:id="71"/>
      <w:bookmarkEnd w:id="72"/>
      <w:bookmarkEnd w:id="73"/>
      <w:bookmarkEnd w:id="74"/>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691136C4" w:rsidR="00D533F3" w:rsidRPr="00B7234F" w:rsidRDefault="00F84C1F" w:rsidP="005F534B">
      <w:pPr>
        <w:pStyle w:val="Heading1"/>
        <w:rPr>
          <w:lang w:val="fr-FR"/>
        </w:rPr>
      </w:pPr>
      <w:bookmarkStart w:id="79" w:name="_Toc230973451"/>
      <w:r w:rsidRPr="00B7234F">
        <w:rPr>
          <w:lang w:val="fr-FR"/>
        </w:rPr>
        <w:lastRenderedPageBreak/>
        <w:t>Annexes</w:t>
      </w:r>
      <w:bookmarkEnd w:id="79"/>
      <w:r w:rsidRPr="00B7234F">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D5076" w14:textId="77777777" w:rsidR="00D038B4" w:rsidRDefault="00D038B4" w:rsidP="00734501">
      <w:pPr>
        <w:spacing w:after="0" w:line="240" w:lineRule="auto"/>
      </w:pPr>
      <w:r>
        <w:separator/>
      </w:r>
    </w:p>
  </w:endnote>
  <w:endnote w:type="continuationSeparator" w:id="0">
    <w:p w14:paraId="2EFA3D46" w14:textId="77777777" w:rsidR="00D038B4" w:rsidRDefault="00D038B4"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68546" w14:textId="77777777" w:rsidR="00D038B4" w:rsidRDefault="00D038B4" w:rsidP="00734501">
      <w:pPr>
        <w:spacing w:after="0" w:line="240" w:lineRule="auto"/>
      </w:pPr>
      <w:r>
        <w:separator/>
      </w:r>
    </w:p>
  </w:footnote>
  <w:footnote w:type="continuationSeparator" w:id="0">
    <w:p w14:paraId="0271B7A8" w14:textId="77777777" w:rsidR="00D038B4" w:rsidRDefault="00D038B4"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DD5ACF"/>
    <w:multiLevelType w:val="multilevel"/>
    <w:tmpl w:val="081E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A2D0C7F"/>
    <w:multiLevelType w:val="multilevel"/>
    <w:tmpl w:val="112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3E63C6"/>
    <w:multiLevelType w:val="multilevel"/>
    <w:tmpl w:val="F7C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C322A2"/>
    <w:multiLevelType w:val="multilevel"/>
    <w:tmpl w:val="B81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8"/>
  </w:num>
  <w:num w:numId="4" w16cid:durableId="1726951559">
    <w:abstractNumId w:val="0"/>
  </w:num>
  <w:num w:numId="5" w16cid:durableId="222564225">
    <w:abstractNumId w:val="8"/>
  </w:num>
  <w:num w:numId="6" w16cid:durableId="1607932179">
    <w:abstractNumId w:val="8"/>
  </w:num>
  <w:num w:numId="7" w16cid:durableId="1342976328">
    <w:abstractNumId w:val="0"/>
  </w:num>
  <w:num w:numId="8" w16cid:durableId="1238787394">
    <w:abstractNumId w:val="8"/>
  </w:num>
  <w:num w:numId="9" w16cid:durableId="42946975">
    <w:abstractNumId w:val="0"/>
  </w:num>
  <w:num w:numId="10" w16cid:durableId="568149782">
    <w:abstractNumId w:val="0"/>
  </w:num>
  <w:num w:numId="11" w16cid:durableId="1925989633">
    <w:abstractNumId w:val="2"/>
  </w:num>
  <w:num w:numId="12" w16cid:durableId="1641106551">
    <w:abstractNumId w:val="5"/>
  </w:num>
  <w:num w:numId="13" w16cid:durableId="667098620">
    <w:abstractNumId w:val="9"/>
    <w:lvlOverride w:ilvl="0">
      <w:lvl w:ilvl="0">
        <w:numFmt w:val="decimal"/>
        <w:lvlText w:val="%1."/>
        <w:lvlJc w:val="left"/>
      </w:lvl>
    </w:lvlOverride>
  </w:num>
  <w:num w:numId="14" w16cid:durableId="823549384">
    <w:abstractNumId w:val="7"/>
  </w:num>
  <w:num w:numId="15" w16cid:durableId="1621296706">
    <w:abstractNumId w:val="13"/>
  </w:num>
  <w:num w:numId="16" w16cid:durableId="69473505">
    <w:abstractNumId w:val="6"/>
  </w:num>
  <w:num w:numId="17" w16cid:durableId="1101879510">
    <w:abstractNumId w:val="11"/>
  </w:num>
  <w:num w:numId="18" w16cid:durableId="1151560571">
    <w:abstractNumId w:val="12"/>
  </w:num>
  <w:num w:numId="19" w16cid:durableId="2052270099">
    <w:abstractNumId w:val="4"/>
  </w:num>
  <w:num w:numId="20" w16cid:durableId="201983089">
    <w:abstractNumId w:val="3"/>
  </w:num>
  <w:num w:numId="21" w16cid:durableId="843974525">
    <w:abstractNumId w:val="1"/>
  </w:num>
  <w:num w:numId="22" w16cid:durableId="4909497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08B3"/>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77669"/>
    <w:rsid w:val="00191320"/>
    <w:rsid w:val="0019289D"/>
    <w:rsid w:val="00193073"/>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6776C"/>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8414C"/>
    <w:rsid w:val="00585633"/>
    <w:rsid w:val="00595936"/>
    <w:rsid w:val="005D3BF7"/>
    <w:rsid w:val="005D6E57"/>
    <w:rsid w:val="005E12E0"/>
    <w:rsid w:val="005F4EB7"/>
    <w:rsid w:val="005F534B"/>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01274"/>
    <w:rsid w:val="00715F9C"/>
    <w:rsid w:val="00732EDC"/>
    <w:rsid w:val="00734501"/>
    <w:rsid w:val="00742E8D"/>
    <w:rsid w:val="007458B0"/>
    <w:rsid w:val="00751171"/>
    <w:rsid w:val="00764435"/>
    <w:rsid w:val="007854A9"/>
    <w:rsid w:val="007A1D24"/>
    <w:rsid w:val="007B21E7"/>
    <w:rsid w:val="007C2620"/>
    <w:rsid w:val="007C4658"/>
    <w:rsid w:val="007D2BB2"/>
    <w:rsid w:val="007E5033"/>
    <w:rsid w:val="007F3B35"/>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904DF"/>
    <w:rsid w:val="00A92372"/>
    <w:rsid w:val="00AA1CF5"/>
    <w:rsid w:val="00AA6353"/>
    <w:rsid w:val="00AA702C"/>
    <w:rsid w:val="00AD2BBB"/>
    <w:rsid w:val="00AE72D3"/>
    <w:rsid w:val="00AF11BF"/>
    <w:rsid w:val="00AF534D"/>
    <w:rsid w:val="00AF6302"/>
    <w:rsid w:val="00B1523B"/>
    <w:rsid w:val="00B702C1"/>
    <w:rsid w:val="00B7234F"/>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CE54E1"/>
    <w:rsid w:val="00CE760F"/>
    <w:rsid w:val="00D038B4"/>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84C1F"/>
    <w:rsid w:val="00F9159E"/>
    <w:rsid w:val="00F922AD"/>
    <w:rsid w:val="00F92FEC"/>
    <w:rsid w:val="00FA236A"/>
    <w:rsid w:val="00FB24B6"/>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7B21E7"/>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7B21E7"/>
    <w:pPr>
      <w:keepNext/>
      <w:keepLines/>
      <w:spacing w:before="40" w:after="0"/>
      <w:outlineLvl w:val="3"/>
    </w:pPr>
    <w:rPr>
      <w:rFonts w:eastAsiaTheme="majorEastAsia" w:cstheme="majorBidi"/>
      <w:b/>
      <w:i/>
      <w:iCs/>
      <w:sz w:val="28"/>
      <w:lang w:val="en-US"/>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7B21E7"/>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7B21E7"/>
    <w:rPr>
      <w:rFonts w:ascii="Neutra Text" w:eastAsiaTheme="majorEastAsia" w:hAnsi="Neutra Text" w:cstheme="majorBidi"/>
      <w:b/>
      <w:i/>
      <w:iCs/>
      <w:sz w:val="28"/>
      <w:lang w:val="en-US"/>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B7234F"/>
    <w:pPr>
      <w:spacing w:after="200" w:line="240" w:lineRule="auto"/>
    </w:pPr>
    <w:rPr>
      <w:i/>
      <w:iCs/>
      <w:color w:val="44546A" w:themeColor="text2"/>
      <w:sz w:val="18"/>
      <w:szCs w:val="18"/>
    </w:rPr>
  </w:style>
  <w:style w:type="paragraph" w:customStyle="1" w:styleId="font-claude-response-body">
    <w:name w:val="font-claude-response-body"/>
    <w:basedOn w:val="Normal"/>
    <w:rsid w:val="007B21E7"/>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styleId="Strong">
    <w:name w:val="Strong"/>
    <w:basedOn w:val="DefaultParagraphFont"/>
    <w:uiPriority w:val="22"/>
    <w:qFormat/>
    <w:rsid w:val="007B21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38</Pages>
  <Words>10096</Words>
  <Characters>57548</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67509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109</cp:revision>
  <cp:lastPrinted>2024-06-19T00:06:00Z</cp:lastPrinted>
  <dcterms:created xsi:type="dcterms:W3CDTF">2026-01-07T18:27:00Z</dcterms:created>
  <dcterms:modified xsi:type="dcterms:W3CDTF">2026-06-06T18:41:00Z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