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proofErr w:type="spellStart"/>
      <w:r w:rsidR="00BA41AF">
        <w:rPr>
          <w:sz w:val="24"/>
        </w:rPr>
        <w:t>Soumik</w:t>
      </w:r>
      <w:proofErr w:type="spellEnd"/>
      <w:r w:rsidR="00BA41AF">
        <w:rPr>
          <w:sz w:val="24"/>
        </w:rPr>
        <w:t xml:space="preserve">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proofErr w:type="spellStart"/>
      <w:r>
        <w:lastRenderedPageBreak/>
        <w:t>Sommaire</w:t>
      </w:r>
      <w:bookmarkEnd w:id="32"/>
      <w:bookmarkEnd w:id="33"/>
      <w:bookmarkEnd w:id="34"/>
      <w:bookmarkEnd w:id="35"/>
      <w:bookmarkEnd w:id="36"/>
      <w:bookmarkEnd w:id="37"/>
      <w:proofErr w:type="spellEnd"/>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7B21E7">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7B21E7">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7B21E7">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7B21E7">
      <w:pPr>
        <w:pStyle w:val="Heading2"/>
      </w:pPr>
    </w:p>
    <w:p w14:paraId="1BFB1E38" w14:textId="1301403A" w:rsidR="00685639" w:rsidRPr="00497F76" w:rsidRDefault="00D04339" w:rsidP="007B21E7">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7B21E7">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7B21E7">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36BE7321" w14:textId="78EC9868" w:rsidR="00A92372"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3954C6CB" w14:textId="77777777" w:rsidR="00A92372" w:rsidRDefault="00A92372" w:rsidP="00565C53">
      <w:pPr>
        <w:rPr>
          <w:rFonts w:ascii="Times New Roman" w:hAnsi="Times New Roman" w:cs="Times New Roman"/>
          <w:sz w:val="24"/>
          <w:szCs w:val="24"/>
          <w:lang w:val="en-US"/>
        </w:rPr>
      </w:pPr>
    </w:p>
    <w:p w14:paraId="741A5362"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L'enseignement des langues a évolué des méthodes de traduction grammaticale, centrées sur la mémorisation et la précision, vers des approches communicatives privilégiant l'interaction authentique (Richards &amp; Rodgers, 2014).</w:t>
      </w:r>
    </w:p>
    <w:p w14:paraId="30FDBF34"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Cependant, quelle que soit l'approche pédagogique adoptée, une constante demeure : les enseignants doivent traduire ces principes méthodologiques en pratique concrète de classe à travers la planification de cours.</w:t>
      </w:r>
    </w:p>
    <w:p w14:paraId="119CF740" w14:textId="77777777" w:rsidR="00A92372" w:rsidRPr="00A92372" w:rsidRDefault="00A92372" w:rsidP="00A92372">
      <w:pPr>
        <w:rPr>
          <w:rFonts w:ascii="Times New Roman" w:hAnsi="Times New Roman" w:cs="Times New Roman"/>
          <w:sz w:val="24"/>
          <w:szCs w:val="24"/>
        </w:rPr>
      </w:pPr>
    </w:p>
    <w:p w14:paraId="4DC5FF0E"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1)</w:t>
      </w:r>
      <w:r w:rsidRPr="00A92372">
        <w:rPr>
          <w:rFonts w:ascii="Times New Roman" w:hAnsi="Times New Roman" w:cs="Times New Roman"/>
          <w:sz w:val="24"/>
          <w:szCs w:val="24"/>
        </w:rPr>
        <w:tab/>
        <w:t>L'évolution technologique et la planification des cours en enseignement des langues</w:t>
      </w:r>
    </w:p>
    <w:p w14:paraId="3FD6ADC1" w14:textId="77777777" w:rsidR="00A92372" w:rsidRPr="00A92372" w:rsidRDefault="00A92372" w:rsidP="00A92372">
      <w:pPr>
        <w:rPr>
          <w:rFonts w:ascii="Times New Roman" w:hAnsi="Times New Roman" w:cs="Times New Roman"/>
          <w:sz w:val="24"/>
          <w:szCs w:val="24"/>
        </w:rPr>
      </w:pPr>
    </w:p>
    <w:p w14:paraId="29D48DA5"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A4AC62F" w14:textId="77777777" w:rsidR="00A92372" w:rsidRPr="00A92372" w:rsidRDefault="00A92372" w:rsidP="00A92372">
      <w:pPr>
        <w:rPr>
          <w:rFonts w:ascii="Times New Roman" w:hAnsi="Times New Roman" w:cs="Times New Roman"/>
          <w:sz w:val="24"/>
          <w:szCs w:val="24"/>
        </w:rPr>
      </w:pPr>
    </w:p>
    <w:p w14:paraId="01A1F1B7" w14:textId="77777777" w:rsidR="00A92372" w:rsidRPr="007B21E7" w:rsidRDefault="00A92372" w:rsidP="00A92372">
      <w:pPr>
        <w:rPr>
          <w:rFonts w:ascii="Times New Roman" w:hAnsi="Times New Roman" w:cs="Times New Roman"/>
          <w:sz w:val="24"/>
          <w:szCs w:val="24"/>
        </w:rPr>
      </w:pPr>
      <w:r w:rsidRPr="00A92372">
        <w:rPr>
          <w:rFonts w:ascii="Times New Roman" w:hAnsi="Times New Roman" w:cs="Times New Roman"/>
          <w:sz w:val="24"/>
          <w:szCs w:val="24"/>
        </w:rPr>
        <w:lastRenderedPageBreak/>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rsidRPr="00A92372">
        <w:rPr>
          <w:rFonts w:ascii="Times New Roman" w:hAnsi="Times New Roman" w:cs="Times New Roman"/>
          <w:sz w:val="24"/>
          <w:szCs w:val="24"/>
        </w:rPr>
        <w:t>Warschauer</w:t>
      </w:r>
      <w:proofErr w:type="spellEnd"/>
      <w:r w:rsidRPr="00A92372">
        <w:rPr>
          <w:rFonts w:ascii="Times New Roman" w:hAnsi="Times New Roman" w:cs="Times New Roman"/>
          <w:sz w:val="24"/>
          <w:szCs w:val="24"/>
        </w:rPr>
        <w:t xml:space="preserve"> et Healey,1998). </w:t>
      </w:r>
      <w:r w:rsidRPr="007B21E7">
        <w:rPr>
          <w:rFonts w:ascii="Times New Roman" w:hAnsi="Times New Roman" w:cs="Times New Roman"/>
          <w:sz w:val="24"/>
          <w:szCs w:val="24"/>
        </w:rPr>
        <w:t xml:space="preserve">Malgré la présence de ces outils numériques, c’étaient toujours les enseignants qui imaginaient l’organisation de l’enseignement. Les logiciels n’étaient là qu’en </w:t>
      </w:r>
      <w:proofErr w:type="gramStart"/>
      <w:r w:rsidRPr="007B21E7">
        <w:rPr>
          <w:rFonts w:ascii="Times New Roman" w:hAnsi="Times New Roman" w:cs="Times New Roman"/>
          <w:sz w:val="24"/>
          <w:szCs w:val="24"/>
        </w:rPr>
        <w:t>appui;</w:t>
      </w:r>
      <w:proofErr w:type="gramEnd"/>
      <w:r w:rsidRPr="007B21E7">
        <w:rPr>
          <w:rFonts w:ascii="Times New Roman" w:hAnsi="Times New Roman" w:cs="Times New Roman"/>
          <w:sz w:val="24"/>
          <w:szCs w:val="24"/>
        </w:rPr>
        <w:t xml:space="preserve"> ils ne concevaient pas le contenu pédagogique eux-mêmes.</w:t>
      </w:r>
    </w:p>
    <w:p w14:paraId="3CC29787" w14:textId="77777777" w:rsidR="00A92372" w:rsidRPr="007B21E7" w:rsidRDefault="00A92372" w:rsidP="00A92372">
      <w:pPr>
        <w:rPr>
          <w:rFonts w:ascii="Times New Roman" w:hAnsi="Times New Roman" w:cs="Times New Roman"/>
          <w:sz w:val="24"/>
          <w:szCs w:val="24"/>
        </w:rPr>
      </w:pPr>
    </w:p>
    <w:p w14:paraId="103BE9A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Aujourd’hui, l’IA générative change la donne. Avec des interfaces comme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il suffit de rédiger une consigne pour générer instantanément un plan de cours, des exercices ou des explications (Mishra et al., 2025). Cette mutation oblige les enseignants à développer un autre type de discernement </w:t>
      </w:r>
      <w:proofErr w:type="gramStart"/>
      <w:r w:rsidRPr="007B21E7">
        <w:rPr>
          <w:rFonts w:ascii="Times New Roman" w:hAnsi="Times New Roman" w:cs="Times New Roman"/>
          <w:sz w:val="24"/>
          <w:szCs w:val="24"/>
        </w:rPr>
        <w:t>pédagogique:</w:t>
      </w:r>
      <w:proofErr w:type="gramEnd"/>
      <w:r w:rsidRPr="007B21E7">
        <w:rPr>
          <w:rFonts w:ascii="Times New Roman" w:hAnsi="Times New Roman" w:cs="Times New Roman"/>
          <w:sz w:val="24"/>
          <w:szCs w:val="24"/>
        </w:rP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 usages (Cadre d’usage de l’IA en éducation, 2025).</w:t>
      </w:r>
    </w:p>
    <w:p w14:paraId="657FF8F8" w14:textId="77777777" w:rsidR="00A92372" w:rsidRPr="007B21E7" w:rsidRDefault="00A92372" w:rsidP="00A92372">
      <w:pPr>
        <w:rPr>
          <w:rFonts w:ascii="Times New Roman" w:hAnsi="Times New Roman" w:cs="Times New Roman"/>
          <w:sz w:val="24"/>
          <w:szCs w:val="24"/>
        </w:rPr>
      </w:pPr>
    </w:p>
    <w:p w14:paraId="797F369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205EC375" w14:textId="77777777" w:rsidR="00A92372" w:rsidRPr="007B21E7" w:rsidRDefault="00A92372" w:rsidP="00A92372">
      <w:pPr>
        <w:rPr>
          <w:rFonts w:ascii="Times New Roman" w:hAnsi="Times New Roman" w:cs="Times New Roman"/>
          <w:sz w:val="24"/>
          <w:szCs w:val="24"/>
        </w:rPr>
      </w:pPr>
    </w:p>
    <w:p w14:paraId="6E7D2F9A"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(a)</w:t>
      </w:r>
      <w:r w:rsidRPr="007B21E7">
        <w:rPr>
          <w:rFonts w:ascii="Times New Roman" w:hAnsi="Times New Roman" w:cs="Times New Roman"/>
          <w:sz w:val="24"/>
          <w:szCs w:val="24"/>
        </w:rPr>
        <w:tab/>
        <w:t>La planification des cours dans l'enseignement des langues avant l'IA</w:t>
      </w:r>
    </w:p>
    <w:p w14:paraId="53980774" w14:textId="77777777" w:rsidR="00A92372" w:rsidRPr="007B21E7" w:rsidRDefault="00A92372" w:rsidP="00A92372">
      <w:pPr>
        <w:rPr>
          <w:rFonts w:ascii="Times New Roman" w:hAnsi="Times New Roman" w:cs="Times New Roman"/>
          <w:sz w:val="24"/>
          <w:szCs w:val="24"/>
        </w:rPr>
      </w:pPr>
    </w:p>
    <w:p w14:paraId="0A62C52F"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(Borg, 2003). Cette base, fondée sur une planification des cours menée par les </w:t>
      </w:r>
      <w:r w:rsidRPr="007B21E7">
        <w:rPr>
          <w:rFonts w:ascii="Times New Roman" w:hAnsi="Times New Roman" w:cs="Times New Roman"/>
          <w:sz w:val="24"/>
          <w:szCs w:val="24"/>
        </w:rPr>
        <w:lastRenderedPageBreak/>
        <w:t>enseignants eux-mêmes, devient essentielle pour comprendre comment ces derniers se sont ensuite adaptés à de nouveaux outils, notamment l'IA générative.</w:t>
      </w:r>
    </w:p>
    <w:p w14:paraId="0A335FF6" w14:textId="77777777" w:rsidR="00A92372" w:rsidRPr="007B21E7" w:rsidRDefault="00A92372" w:rsidP="00A92372">
      <w:pPr>
        <w:rPr>
          <w:rFonts w:ascii="Times New Roman" w:hAnsi="Times New Roman" w:cs="Times New Roman"/>
          <w:sz w:val="24"/>
          <w:szCs w:val="24"/>
        </w:rPr>
      </w:pPr>
    </w:p>
    <w:p w14:paraId="6FF5299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(b)</w:t>
      </w:r>
      <w:r w:rsidRPr="007B21E7">
        <w:rPr>
          <w:rFonts w:ascii="Times New Roman" w:hAnsi="Times New Roman" w:cs="Times New Roman"/>
          <w:sz w:val="24"/>
          <w:szCs w:val="24"/>
        </w:rPr>
        <w:tab/>
        <w:t>L'émergence des TICE dans l'apprentissage des langues</w:t>
      </w:r>
    </w:p>
    <w:p w14:paraId="2B48B1A3" w14:textId="77777777" w:rsidR="00A92372" w:rsidRPr="007B21E7" w:rsidRDefault="00A92372" w:rsidP="00A92372">
      <w:pPr>
        <w:rPr>
          <w:rFonts w:ascii="Times New Roman" w:hAnsi="Times New Roman" w:cs="Times New Roman"/>
          <w:sz w:val="24"/>
          <w:szCs w:val="24"/>
        </w:rPr>
      </w:pPr>
    </w:p>
    <w:p w14:paraId="1ED38DC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Les outils numériques ont progressivement fait leur entrée dans les classes de langues par le biais de l'Apprentissage des Langues Assisté par Ordinateur (ALAO) où « Computer-</w:t>
      </w:r>
      <w:proofErr w:type="spellStart"/>
      <w:r w:rsidRPr="007B21E7">
        <w:rPr>
          <w:rFonts w:ascii="Times New Roman" w:hAnsi="Times New Roman" w:cs="Times New Roman"/>
          <w:sz w:val="24"/>
          <w:szCs w:val="24"/>
        </w:rPr>
        <w:t>Assisted</w:t>
      </w:r>
      <w:proofErr w:type="spellEnd"/>
      <w:r w:rsidRPr="007B21E7">
        <w:rPr>
          <w:rFonts w:ascii="Times New Roman" w:hAnsi="Times New Roman" w:cs="Times New Roman"/>
          <w:sz w:val="24"/>
          <w:szCs w:val="24"/>
        </w:rPr>
        <w:t xml:space="preserve"> </w:t>
      </w:r>
      <w:proofErr w:type="spellStart"/>
      <w:r w:rsidRPr="007B21E7">
        <w:rPr>
          <w:rFonts w:ascii="Times New Roman" w:hAnsi="Times New Roman" w:cs="Times New Roman"/>
          <w:sz w:val="24"/>
          <w:szCs w:val="24"/>
        </w:rPr>
        <w:t>Language</w:t>
      </w:r>
      <w:proofErr w:type="spellEnd"/>
      <w:r w:rsidRPr="007B21E7">
        <w:rPr>
          <w:rFonts w:ascii="Times New Roman" w:hAnsi="Times New Roman" w:cs="Times New Roman"/>
          <w:sz w:val="24"/>
          <w:szCs w:val="24"/>
        </w:rPr>
        <w:t xml:space="preserve"> Learning (CALL) », obligeant les enseignants à adapter leurs pratiques de planification pour intégrer ces technologies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34F2399F" w14:textId="77777777" w:rsidR="00A92372" w:rsidRPr="007B21E7" w:rsidRDefault="00A92372" w:rsidP="00A92372">
      <w:pPr>
        <w:rPr>
          <w:rFonts w:ascii="Times New Roman" w:hAnsi="Times New Roman" w:cs="Times New Roman"/>
          <w:sz w:val="24"/>
          <w:szCs w:val="24"/>
        </w:rPr>
      </w:pPr>
    </w:p>
    <w:p w14:paraId="4B99630D"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Cette distinction devient déterminante lorsqu'on considère l'IA générative, qui modifie fondamentalement ce que les enseignants doivent faire dans la planification des cours.</w:t>
      </w:r>
    </w:p>
    <w:p w14:paraId="5679BED7" w14:textId="77777777" w:rsidR="00A92372" w:rsidRPr="007B21E7" w:rsidRDefault="00A92372" w:rsidP="00A92372">
      <w:pPr>
        <w:rPr>
          <w:rFonts w:ascii="Times New Roman" w:hAnsi="Times New Roman" w:cs="Times New Roman"/>
          <w:sz w:val="24"/>
          <w:szCs w:val="24"/>
        </w:rPr>
      </w:pPr>
    </w:p>
    <w:p w14:paraId="179B252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w:t>
      </w:r>
      <w:r w:rsidRPr="007B21E7">
        <w:rPr>
          <w:rFonts w:ascii="Times New Roman" w:hAnsi="Times New Roman" w:cs="Times New Roman"/>
          <w:sz w:val="24"/>
          <w:szCs w:val="24"/>
        </w:rPr>
        <w:tab/>
        <w:t>L'intégration de l'IA générative dans l'apprentissage des langues</w:t>
      </w:r>
    </w:p>
    <w:p w14:paraId="35EC59D3" w14:textId="77777777" w:rsidR="00A92372" w:rsidRPr="007B21E7" w:rsidRDefault="00A92372" w:rsidP="00A92372">
      <w:pPr>
        <w:rPr>
          <w:rFonts w:ascii="Times New Roman" w:hAnsi="Times New Roman" w:cs="Times New Roman"/>
          <w:sz w:val="24"/>
          <w:szCs w:val="24"/>
        </w:rPr>
      </w:pPr>
    </w:p>
    <w:p w14:paraId="473ED0A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désigne les systèmes d'intelligence artificielle capables de produire de nouveaux contenus tels que textes, plans de cours, exercices, à partir d'une instruction fournie </w:t>
      </w:r>
      <w:r w:rsidRPr="007B21E7">
        <w:rPr>
          <w:rFonts w:ascii="Times New Roman" w:hAnsi="Times New Roman" w:cs="Times New Roman"/>
          <w:sz w:val="24"/>
          <w:szCs w:val="24"/>
        </w:rPr>
        <w:lastRenderedPageBreak/>
        <w:t>par l'utilisateur (Mishra et al., 2025).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(Morgan, 2025). 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4FD6E70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(d)</w:t>
      </w:r>
      <w:r w:rsidRPr="007B21E7">
        <w:rPr>
          <w:rFonts w:ascii="Times New Roman" w:hAnsi="Times New Roman" w:cs="Times New Roman"/>
          <w:sz w:val="24"/>
          <w:szCs w:val="24"/>
        </w:rPr>
        <w:tab/>
        <w:t>Le système éducatif français et l'IA</w:t>
      </w:r>
    </w:p>
    <w:p w14:paraId="02694A37" w14:textId="77777777" w:rsidR="00A92372" w:rsidRPr="007B21E7" w:rsidRDefault="00A92372" w:rsidP="00A92372">
      <w:pPr>
        <w:rPr>
          <w:rFonts w:ascii="Times New Roman" w:hAnsi="Times New Roman" w:cs="Times New Roman"/>
          <w:sz w:val="24"/>
          <w:szCs w:val="24"/>
        </w:rPr>
      </w:pPr>
    </w:p>
    <w:p w14:paraId="1C50D794"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L'utilisation de l'IA générative est autorisée dans l'enseignement secondaire, à condition que les utilisateurs respectent les réglementations fixées par le ministère de l'Éducation nationale (Cadre d’usage de l’IA en éducation, 2025). Son usage est permis dans la mesure où elle constitue un outil pédagogique et n'implique pas le traitement de données personnelles, sensibles ou institutionnelles dans un cadre public (La protection des élèves et de leurs données sur Internet, 2019).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46B1A10" w14:textId="77777777" w:rsidR="00A92372" w:rsidRPr="007B21E7" w:rsidRDefault="00A92372" w:rsidP="00A92372">
      <w:pPr>
        <w:rPr>
          <w:rFonts w:ascii="Times New Roman" w:hAnsi="Times New Roman" w:cs="Times New Roman"/>
          <w:sz w:val="24"/>
          <w:szCs w:val="24"/>
        </w:rPr>
      </w:pPr>
    </w:p>
    <w:p w14:paraId="7BD3CBB9"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est un phénomène relativement récent qui a rapidement gagné en popularité après le lancement de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en 2022, grâce à la flexibilité qu'il offre et à des résultats adaptés à chaque </w:t>
      </w:r>
      <w:proofErr w:type="gramStart"/>
      <w:r w:rsidRPr="007B21E7">
        <w:rPr>
          <w:rFonts w:ascii="Times New Roman" w:hAnsi="Times New Roman" w:cs="Times New Roman"/>
          <w:sz w:val="24"/>
          <w:szCs w:val="24"/>
        </w:rPr>
        <w:t>utilisateur(</w:t>
      </w:r>
      <w:proofErr w:type="gramEnd"/>
      <w:r w:rsidRPr="007B21E7">
        <w:rPr>
          <w:rFonts w:ascii="Times New Roman" w:hAnsi="Times New Roman" w:cs="Times New Roman"/>
          <w:sz w:val="24"/>
          <w:szCs w:val="24"/>
        </w:rPr>
        <w:t xml:space="preserve">Liu &amp; Wang, 2024). Cependant, dans le contexte éducatif français, les études se concentrent majoritairement sur les usages par les apprenants ou proposent des guides </w:t>
      </w:r>
      <w:r w:rsidRPr="007B21E7">
        <w:rPr>
          <w:rFonts w:ascii="Times New Roman" w:hAnsi="Times New Roman" w:cs="Times New Roman"/>
          <w:sz w:val="24"/>
          <w:szCs w:val="24"/>
        </w:rPr>
        <w:lastRenderedPageBreak/>
        <w:t xml:space="preserve">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397DB72D" w14:textId="073B785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73E0F09" w14:textId="77777777" w:rsidR="004A5A3F" w:rsidRPr="007B21E7" w:rsidRDefault="004A5A3F" w:rsidP="00565C53">
      <w:pPr>
        <w:rPr>
          <w:rFonts w:ascii="Times New Roman" w:hAnsi="Times New Roman" w:cs="Times New Roman"/>
          <w:sz w:val="24"/>
          <w:szCs w:val="24"/>
        </w:rPr>
      </w:pPr>
    </w:p>
    <w:p w14:paraId="6E419DB2" w14:textId="690303A3" w:rsidR="00565C53" w:rsidRPr="004126DF" w:rsidRDefault="00D60A92" w:rsidP="007B21E7">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7B21E7">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7B21E7">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7B21E7">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7B21E7">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2B3166C2" w14:textId="77777777" w:rsidR="00D121D5" w:rsidRDefault="00D121D5" w:rsidP="00BA1236">
      <w:pPr>
        <w:spacing w:line="259" w:lineRule="auto"/>
        <w:jc w:val="left"/>
        <w:rPr>
          <w:rFonts w:ascii="Times New Roman" w:eastAsia="Times New Roman" w:hAnsi="Times New Roman" w:cs="Times New Roman"/>
          <w:sz w:val="24"/>
          <w:szCs w:val="24"/>
          <w:lang w:val="en-FR" w:eastAsia="en-GB"/>
        </w:rPr>
      </w:pPr>
    </w:p>
    <w:p w14:paraId="5B030F78" w14:textId="464D372B" w:rsidR="007B21E7" w:rsidRPr="007B21E7" w:rsidRDefault="007B21E7" w:rsidP="007B21E7">
      <w:pPr>
        <w:pStyle w:val="Heading2"/>
        <w:rPr>
          <w:b/>
          <w:bCs/>
          <w:lang w:val="en-FR"/>
        </w:rPr>
      </w:pPr>
      <w:r w:rsidRPr="007B21E7">
        <w:rPr>
          <w:rStyle w:val="Strong"/>
          <w:b w:val="0"/>
          <w:bCs w:val="0"/>
        </w:rPr>
        <w:t>Technology Adoption in Education</w:t>
      </w:r>
    </w:p>
    <w:p w14:paraId="1F75650F" w14:textId="77777777" w:rsidR="007B21E7" w:rsidRDefault="007B21E7" w:rsidP="007B21E7">
      <w:pPr>
        <w:pStyle w:val="font-claude-response-body"/>
      </w:pPr>
      <w:r>
        <w:t xml:space="preserve">Technology adoption in education is not automatic. While new tools become available, teachers decide whether and how to integrate them based on complex psychological, institutional, and pedagogical factors. Understanding these adoption processes is essential for understanding how teachers will evaluate generative AI. This section examines what technology adoption is, key theoretical frameworks explaining adoption decisions, barriers </w:t>
      </w:r>
      <w:r>
        <w:lastRenderedPageBreak/>
        <w:t>teachers face, and how these apply specifically to language teachers using AI for lesson planning.</w:t>
      </w:r>
    </w:p>
    <w:p w14:paraId="75B2AA97" w14:textId="77777777" w:rsidR="007B21E7" w:rsidRDefault="00EC4315" w:rsidP="007B21E7">
      <w:r>
        <w:rPr>
          <w:noProof/>
        </w:rPr>
        <w:pict w14:anchorId="31D40C4A">
          <v:rect id="_x0000_i1025" alt="" style="width:451.3pt;height:.05pt;mso-width-percent:0;mso-height-percent:0;mso-width-percent:0;mso-height-percent:0" o:hralign="center" o:hrstd="t" o:hr="t" fillcolor="#a0a0a0" stroked="f"/>
        </w:pict>
      </w:r>
    </w:p>
    <w:p w14:paraId="676B0B4C" w14:textId="3C44905C" w:rsidR="007B21E7" w:rsidRPr="00B01EF8" w:rsidRDefault="007B21E7" w:rsidP="00150060">
      <w:pPr>
        <w:pStyle w:val="Heading3"/>
        <w:rPr>
          <w:lang w:val="en-US"/>
        </w:rPr>
      </w:pPr>
      <w:r w:rsidRPr="00B01EF8">
        <w:rPr>
          <w:rStyle w:val="Strong"/>
          <w:b/>
          <w:lang w:val="en-US"/>
        </w:rPr>
        <w:t>3.1 Defining Technology Adoption</w:t>
      </w:r>
      <w:r w:rsidRPr="00B01EF8">
        <w:rPr>
          <w:lang w:val="en-US"/>
        </w:rPr>
        <w:t xml:space="preserve"> </w:t>
      </w:r>
    </w:p>
    <w:p w14:paraId="109D5926" w14:textId="7EF3D1A9" w:rsidR="007B21E7" w:rsidRDefault="007B21E7" w:rsidP="007B21E7">
      <w:pPr>
        <w:pStyle w:val="font-claude-response-body"/>
      </w:pPr>
      <w:r>
        <w:rPr>
          <w:rStyle w:val="Strong"/>
          <w:rFonts w:eastAsiaTheme="majorEastAsia"/>
        </w:rPr>
        <w:t>Sources:</w:t>
      </w:r>
      <w:r>
        <w:t xml:space="preserve"> Straub (2009)</w:t>
      </w:r>
      <w:r>
        <w:rPr>
          <w:rStyle w:val="Strong"/>
          <w:rFonts w:eastAsiaTheme="majorEastAsia"/>
        </w:rPr>
        <w:t>:</w:t>
      </w:r>
    </w:p>
    <w:p w14:paraId="7F71C7EA" w14:textId="77777777" w:rsidR="007B21E7" w:rsidRDefault="007B21E7" w:rsidP="007B21E7">
      <w:pPr>
        <w:pStyle w:val="font-claude-response-body"/>
        <w:numPr>
          <w:ilvl w:val="0"/>
          <w:numId w:val="19"/>
        </w:numPr>
      </w:pPr>
      <w:r>
        <w:t>What is technology adoption? (Not just buying a tool, but integrating it into practice)</w:t>
      </w:r>
    </w:p>
    <w:p w14:paraId="4B0F564A" w14:textId="77777777" w:rsidR="007B21E7" w:rsidRDefault="007B21E7" w:rsidP="007B21E7">
      <w:pPr>
        <w:pStyle w:val="font-claude-response-body"/>
        <w:numPr>
          <w:ilvl w:val="0"/>
          <w:numId w:val="19"/>
        </w:numPr>
      </w:pPr>
      <w:r>
        <w:t>Why does it matter for understanding teacher practice?</w:t>
      </w:r>
    </w:p>
    <w:p w14:paraId="266E3F82" w14:textId="77777777" w:rsidR="007B21E7" w:rsidRDefault="007B21E7" w:rsidP="007B21E7">
      <w:pPr>
        <w:pStyle w:val="font-claude-response-body"/>
        <w:numPr>
          <w:ilvl w:val="0"/>
          <w:numId w:val="19"/>
        </w:numPr>
      </w:pPr>
      <w:r>
        <w:t>Brief mention of adoption as a process, not an event</w:t>
      </w:r>
    </w:p>
    <w:p w14:paraId="6E8723E8" w14:textId="0647FA7F" w:rsidR="007B21E7" w:rsidRPr="007B21E7" w:rsidRDefault="007B21E7" w:rsidP="00150060">
      <w:pPr>
        <w:pStyle w:val="Heading3"/>
        <w:rPr>
          <w:lang w:val="en-US"/>
        </w:rPr>
      </w:pPr>
      <w:r w:rsidRPr="007B21E7">
        <w:rPr>
          <w:rStyle w:val="Strong"/>
          <w:b/>
          <w:lang w:val="en-US"/>
        </w:rPr>
        <w:t>3.2 Theoretical Frameworks for Understanding Adoption</w:t>
      </w:r>
      <w:r w:rsidRPr="007B21E7">
        <w:rPr>
          <w:lang w:val="en-US"/>
        </w:rPr>
        <w:t xml:space="preserve"> </w:t>
      </w:r>
    </w:p>
    <w:p w14:paraId="517978A3" w14:textId="77777777" w:rsidR="007B21E7" w:rsidRDefault="007B21E7" w:rsidP="007B21E7">
      <w:pPr>
        <w:pStyle w:val="font-claude-response-body"/>
      </w:pPr>
      <w:r>
        <w:rPr>
          <w:rStyle w:val="Strong"/>
          <w:rFonts w:eastAsiaTheme="majorEastAsia"/>
        </w:rPr>
        <w:t>Sources:</w:t>
      </w:r>
      <w:r>
        <w:t xml:space="preserve"> Davis (1989), Rogers (2003), Straub (2009) </w:t>
      </w:r>
      <w:r>
        <w:rPr>
          <w:rStyle w:val="Strong"/>
          <w:rFonts w:eastAsiaTheme="majorEastAsia"/>
        </w:rPr>
        <w:t>Content:</w:t>
      </w:r>
    </w:p>
    <w:p w14:paraId="3C15DAB5" w14:textId="77777777" w:rsidR="007B21E7" w:rsidRDefault="007B21E7" w:rsidP="007B21E7">
      <w:pPr>
        <w:pStyle w:val="font-claude-response-body"/>
        <w:numPr>
          <w:ilvl w:val="0"/>
          <w:numId w:val="20"/>
        </w:numPr>
      </w:pPr>
      <w:r>
        <w:t>TAM (Technology Acceptance Model): Perceived Usefulness + Perceived Ease of Use</w:t>
      </w:r>
    </w:p>
    <w:p w14:paraId="2D743543" w14:textId="77777777" w:rsidR="007B21E7" w:rsidRDefault="007B21E7" w:rsidP="007B21E7">
      <w:pPr>
        <w:pStyle w:val="font-claude-response-body"/>
        <w:numPr>
          <w:ilvl w:val="0"/>
          <w:numId w:val="20"/>
        </w:numPr>
      </w:pPr>
      <w:r>
        <w:t>Rogers' Diffusion of Innovations: Relative advantage, compatibility, complexity, trialability, observability</w:t>
      </w:r>
    </w:p>
    <w:p w14:paraId="5E2C0735" w14:textId="77777777" w:rsidR="007B21E7" w:rsidRDefault="007B21E7" w:rsidP="007B21E7">
      <w:pPr>
        <w:pStyle w:val="font-claude-response-body"/>
        <w:numPr>
          <w:ilvl w:val="0"/>
          <w:numId w:val="20"/>
        </w:numPr>
      </w:pPr>
      <w:r>
        <w:t>How these frameworks apply to teacher decision-making</w:t>
      </w:r>
    </w:p>
    <w:p w14:paraId="5A1D5B1D" w14:textId="1B7477C3" w:rsidR="007B21E7" w:rsidRPr="00B01EF8" w:rsidRDefault="007B21E7" w:rsidP="00150060">
      <w:pPr>
        <w:pStyle w:val="Heading3"/>
        <w:rPr>
          <w:lang w:val="en-US"/>
        </w:rPr>
      </w:pPr>
      <w:r w:rsidRPr="00B01EF8">
        <w:rPr>
          <w:rStyle w:val="Strong"/>
          <w:b/>
          <w:lang w:val="en-US"/>
        </w:rPr>
        <w:t>3.3 Barriers and Factors Influencing Adoption</w:t>
      </w:r>
      <w:r w:rsidRPr="00B01EF8">
        <w:rPr>
          <w:lang w:val="en-US"/>
        </w:rPr>
        <w:t xml:space="preserve"> </w:t>
      </w:r>
    </w:p>
    <w:p w14:paraId="333D3FBA" w14:textId="77777777" w:rsidR="007B21E7" w:rsidRDefault="007B21E7" w:rsidP="007B21E7">
      <w:pPr>
        <w:pStyle w:val="font-claude-response-body"/>
      </w:pPr>
      <w:r>
        <w:rPr>
          <w:rStyle w:val="Strong"/>
          <w:rFonts w:eastAsiaTheme="majorEastAsia"/>
        </w:rPr>
        <w:t>Sources:</w:t>
      </w:r>
      <w:r>
        <w:t xml:space="preserve"> Ertmer (2009/2010), Kohnke et al. (2023) </w:t>
      </w:r>
      <w:r>
        <w:rPr>
          <w:rStyle w:val="Strong"/>
          <w:rFonts w:eastAsiaTheme="majorEastAsia"/>
        </w:rPr>
        <w:t>Content:</w:t>
      </w:r>
    </w:p>
    <w:p w14:paraId="4FC29464" w14:textId="77777777" w:rsidR="007B21E7" w:rsidRDefault="007B21E7" w:rsidP="007B21E7">
      <w:pPr>
        <w:pStyle w:val="font-claude-response-body"/>
        <w:numPr>
          <w:ilvl w:val="0"/>
          <w:numId w:val="21"/>
        </w:numPr>
      </w:pPr>
      <w:r>
        <w:t>First-order barriers (external: time, resources, curriculum constraints)</w:t>
      </w:r>
    </w:p>
    <w:p w14:paraId="76C3A7A7" w14:textId="77777777" w:rsidR="007B21E7" w:rsidRDefault="007B21E7" w:rsidP="007B21E7">
      <w:pPr>
        <w:pStyle w:val="font-claude-response-body"/>
        <w:numPr>
          <w:ilvl w:val="0"/>
          <w:numId w:val="21"/>
        </w:numPr>
      </w:pPr>
      <w:r>
        <w:t>Second-order barriers (internal: beliefs, anxiety, professional identity)</w:t>
      </w:r>
    </w:p>
    <w:p w14:paraId="4B039E04" w14:textId="77777777" w:rsidR="007B21E7" w:rsidRDefault="007B21E7" w:rsidP="007B21E7">
      <w:pPr>
        <w:pStyle w:val="font-claude-response-body"/>
        <w:numPr>
          <w:ilvl w:val="0"/>
          <w:numId w:val="21"/>
        </w:numPr>
      </w:pPr>
      <w:r>
        <w:t>Why second-order barriers are often the real obstacle</w:t>
      </w:r>
    </w:p>
    <w:p w14:paraId="64D1CBF4" w14:textId="77777777" w:rsidR="007B21E7" w:rsidRDefault="007B21E7" w:rsidP="007B21E7">
      <w:pPr>
        <w:pStyle w:val="font-claude-response-body"/>
        <w:numPr>
          <w:ilvl w:val="0"/>
          <w:numId w:val="21"/>
        </w:numPr>
      </w:pPr>
      <w:r>
        <w:t>Specific to language teaching context</w:t>
      </w:r>
    </w:p>
    <w:p w14:paraId="5F8A3AF0" w14:textId="5E2327D7" w:rsidR="007B21E7" w:rsidRPr="007B21E7" w:rsidRDefault="007B21E7" w:rsidP="007B21E7">
      <w:pPr>
        <w:pStyle w:val="Heading4"/>
      </w:pPr>
      <w:r w:rsidRPr="007B21E7">
        <w:rPr>
          <w:rStyle w:val="Strong"/>
          <w:b/>
          <w:bCs w:val="0"/>
        </w:rPr>
        <w:t>3.4 Application to Language Teachers and Generative AI</w:t>
      </w:r>
      <w:r w:rsidRPr="007B21E7">
        <w:t xml:space="preserve"> </w:t>
      </w:r>
    </w:p>
    <w:p w14:paraId="5503E739" w14:textId="77777777" w:rsidR="007B21E7" w:rsidRDefault="007B21E7" w:rsidP="007B21E7">
      <w:pPr>
        <w:pStyle w:val="font-claude-response-body"/>
      </w:pPr>
      <w:r>
        <w:rPr>
          <w:rStyle w:val="Strong"/>
          <w:rFonts w:eastAsiaTheme="majorEastAsia"/>
        </w:rPr>
        <w:t>Sources:</w:t>
      </w:r>
      <w:r>
        <w:t xml:space="preserve"> Kohnke et al. (2023), Celik (2023), Lee &amp; Jeon, Decauchelle </w:t>
      </w:r>
      <w:r>
        <w:rPr>
          <w:rStyle w:val="Strong"/>
          <w:rFonts w:eastAsiaTheme="majorEastAsia"/>
        </w:rPr>
        <w:t>Content:</w:t>
      </w:r>
    </w:p>
    <w:p w14:paraId="11CA4DFA" w14:textId="77777777" w:rsidR="007B21E7" w:rsidRDefault="007B21E7" w:rsidP="007B21E7">
      <w:pPr>
        <w:pStyle w:val="font-claude-response-body"/>
        <w:numPr>
          <w:ilvl w:val="0"/>
          <w:numId w:val="22"/>
        </w:numPr>
      </w:pPr>
      <w:r>
        <w:t>How language teachers uniquely evaluate AI (linguistic competence, authentic materials)</w:t>
      </w:r>
    </w:p>
    <w:p w14:paraId="191E2240" w14:textId="77777777" w:rsidR="007B21E7" w:rsidRDefault="007B21E7" w:rsidP="007B21E7">
      <w:pPr>
        <w:pStyle w:val="font-claude-response-body"/>
        <w:numPr>
          <w:ilvl w:val="0"/>
          <w:numId w:val="22"/>
        </w:numPr>
      </w:pPr>
      <w:r>
        <w:t>TPACK framework applied to AI tools</w:t>
      </w:r>
    </w:p>
    <w:p w14:paraId="3414AE18" w14:textId="77777777" w:rsidR="007B21E7" w:rsidRDefault="007B21E7" w:rsidP="007B21E7">
      <w:pPr>
        <w:pStyle w:val="font-claude-response-body"/>
        <w:numPr>
          <w:ilvl w:val="0"/>
          <w:numId w:val="22"/>
        </w:numPr>
      </w:pPr>
      <w:r>
        <w:t>French institutional context and adoption (Decauchelle)</w:t>
      </w:r>
    </w:p>
    <w:p w14:paraId="18679514" w14:textId="77777777" w:rsidR="007B21E7" w:rsidRDefault="007B21E7" w:rsidP="007B21E7">
      <w:pPr>
        <w:pStyle w:val="font-claude-response-body"/>
        <w:numPr>
          <w:ilvl w:val="0"/>
          <w:numId w:val="22"/>
        </w:numPr>
      </w:pPr>
      <w:r>
        <w:t>Transition to why your research matters</w:t>
      </w:r>
    </w:p>
    <w:p w14:paraId="0BF709B8" w14:textId="77777777" w:rsidR="007B21E7" w:rsidRPr="007B21E7" w:rsidRDefault="007B21E7" w:rsidP="00BA1236">
      <w:pPr>
        <w:spacing w:line="259" w:lineRule="auto"/>
        <w:jc w:val="left"/>
        <w:rPr>
          <w:i/>
          <w:sz w:val="24"/>
          <w:lang w:val="en-FR"/>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CB4034">
      <w:pPr>
        <w:pStyle w:val="Heading2"/>
      </w:pPr>
    </w:p>
    <w:p w14:paraId="5C663F30" w14:textId="77777777" w:rsidR="00CB4034" w:rsidRDefault="00B01EF8" w:rsidP="00CB4034">
      <w:pPr>
        <w:pStyle w:val="Heading2"/>
      </w:pPr>
      <w:r w:rsidRPr="00B01EF8">
        <w:t xml:space="preserve">Introduction </w:t>
      </w:r>
    </w:p>
    <w:p w14:paraId="54E3A8F3" w14:textId="67401CBD" w:rsidR="00D11C7E" w:rsidRDefault="00041B40" w:rsidP="00041B40">
      <w:pPr>
        <w:pStyle w:val="Heading2"/>
        <w:rPr>
          <w:rFonts w:eastAsiaTheme="minorHAnsi" w:cstheme="minorBidi"/>
          <w:smallCaps w:val="0"/>
          <w:sz w:val="22"/>
          <w:szCs w:val="22"/>
        </w:rPr>
      </w:pPr>
      <w:r w:rsidRPr="00041B40">
        <w:rPr>
          <w:rFonts w:eastAsiaTheme="minorHAnsi" w:cstheme="minorBidi"/>
          <w:smallCaps w:val="0"/>
          <w:sz w:val="22"/>
          <w:szCs w:val="22"/>
        </w:rPr>
        <w:t>The accessibility of generative artificial intelligence tools has reignited interest in their potential role in education, particularly in the field of Information and Communication Technologies in Education (ICTE). For modern language teachers, lesson preparation is one of the most cognitively demanding tasks: it requires balancing curriculum objectives, pupils’ needs and pedagogical choices. AI-assisted support could offer a way to lighten this burden whilst enhancing the quality of the resources made available. This study aims to explore this avenue by observing language teachers preparing their lessons, with and without the aid of AI. The aim is to view AI not as a substitute for the teacher’s expertise, but as a practical tool to support the classroom practices of tomorrow.</w:t>
      </w:r>
    </w:p>
    <w:p w14:paraId="3679132F" w14:textId="77777777" w:rsidR="00160085" w:rsidRDefault="00160085" w:rsidP="00363D27">
      <w:pPr>
        <w:rPr>
          <w:lang w:val="en-US"/>
        </w:rPr>
      </w:pPr>
    </w:p>
    <w:p w14:paraId="66F91A6B" w14:textId="77777777" w:rsidR="00160085" w:rsidRDefault="00160085" w:rsidP="00363D27">
      <w:r w:rsidRPr="00160085">
        <w:t>Une enquête préliminaire a été menée afin de mieux comprendre comment les professionnels de l’enseignement des langues utilisent aujourd’hui l’IA générative dans leur pratique.</w:t>
      </w:r>
    </w:p>
    <w:p w14:paraId="0949CE2F" w14:textId="7A4D6B49" w:rsidR="00150060" w:rsidRPr="00E25C77" w:rsidRDefault="00363D27" w:rsidP="00363D27">
      <w:pPr>
        <w:rPr>
          <w:rStyle w:val="Heading4Char"/>
          <w:rFonts w:ascii="Apple Color Emoji" w:eastAsiaTheme="minorHAnsi" w:hAnsi="Apple Color Emoji" w:cstheme="minorBidi"/>
          <w:b w:val="0"/>
          <w:i w:val="0"/>
          <w:iCs w:val="0"/>
          <w:sz w:val="22"/>
          <w:lang w:val="fr-FR"/>
        </w:rPr>
      </w:pPr>
      <w:r w:rsidRPr="00160085">
        <w:br/>
      </w:r>
      <w:r w:rsidR="00150060" w:rsidRPr="00150060">
        <w:rPr>
          <w:rStyle w:val="Heading4Char"/>
          <w:i w:val="0"/>
          <w:iCs w:val="0"/>
          <w:sz w:val="32"/>
          <w:lang w:val="fr-FR"/>
        </w:rPr>
        <w:t xml:space="preserve">Questionnaire Préliminaire </w:t>
      </w:r>
      <w:r w:rsidR="004132E5">
        <w:rPr>
          <w:rStyle w:val="Heading4Char"/>
          <w:rFonts w:ascii="Apple Color Emoji" w:hAnsi="Apple Color Emoji"/>
          <w:i w:val="0"/>
          <w:iCs w:val="0"/>
          <w:sz w:val="32"/>
          <w:lang w:val="fr-FR"/>
        </w:rPr>
        <w:t>✅</w:t>
      </w:r>
    </w:p>
    <w:p w14:paraId="6F779BD1" w14:textId="77777777" w:rsidR="00150060" w:rsidRDefault="00150060" w:rsidP="00363D27">
      <w:r>
        <w:t>Un questionnaire préliminaire a été administré pour établir une compréhension initiale des pratiques actuelles d'utilisation de l'IA générative chez les enseignants de langues vivantes. Cet instrument d'exploration visait à situer le contexte des usages avant de mener l'étude expérimentale principale.</w:t>
      </w:r>
    </w:p>
    <w:p w14:paraId="0CC8CAF8" w14:textId="77777777" w:rsidR="002E0118" w:rsidRDefault="002E0118" w:rsidP="00363D27"/>
    <w:p w14:paraId="688FA1CF" w14:textId="77777777" w:rsidR="001141FD" w:rsidRDefault="00150060" w:rsidP="00363D27">
      <w:pPr>
        <w:rPr>
          <w:rStyle w:val="Strong"/>
          <w:rFonts w:eastAsiaTheme="majorEastAsia"/>
        </w:rPr>
      </w:pPr>
      <w:r>
        <w:rPr>
          <w:rStyle w:val="Strong"/>
          <w:rFonts w:eastAsiaTheme="majorEastAsia"/>
        </w:rPr>
        <w:t>Conception et contenu</w:t>
      </w:r>
      <w:r w:rsidR="00363D27">
        <w:rPr>
          <w:rStyle w:val="Strong"/>
          <w:rFonts w:eastAsiaTheme="majorEastAsia"/>
        </w:rPr>
        <w:t xml:space="preserve"> </w:t>
      </w:r>
      <w:r>
        <w:rPr>
          <w:rStyle w:val="Strong"/>
          <w:rFonts w:eastAsiaTheme="majorEastAsia"/>
        </w:rPr>
        <w:t>:</w:t>
      </w:r>
    </w:p>
    <w:p w14:paraId="5AA18A59" w14:textId="693F7B6E" w:rsidR="00150060" w:rsidRDefault="00150060" w:rsidP="00363D27">
      <w:r>
        <w:t>Le questionnaire contenait 10 questions réparties en trois sections. La première section collectait des informations professionnelles des répondants (niveau d'enseignement, années d'expérience, public enseigné). La deuxième section explorait l'expérience avec l'IA générative à travers cinq dimensions : (1) le niveau de confort avec les outils d'IA (échelle Likert 1-4), (2) la fréquence d'utilisation (jamais à quotidien, échelle 1-4), (3) les outils spécifiques utilisés (ChatGPT, Claude.ai, etc.), (4) les raisons motivant leur utilisation, et (5) la perception que l'IA générative aide à économiser du temps dans la préparation des cours (échelle Likert 1-4 : « pas d'accord » à « tout à fait d'accord »). La troisième section demandait le consentement pour participer à des entretiens ultérieurs.</w:t>
      </w:r>
    </w:p>
    <w:p w14:paraId="0245680E" w14:textId="6907836B" w:rsidR="00150060" w:rsidRDefault="001141FD" w:rsidP="00363D27">
      <w:r>
        <w:rPr>
          <w:rStyle w:val="Strong"/>
          <w:rFonts w:eastAsiaTheme="majorEastAsia"/>
        </w:rPr>
        <w:lastRenderedPageBreak/>
        <w:t>Administration :</w:t>
      </w:r>
      <w:r w:rsidR="00150060">
        <w:br/>
        <w:t>Le questionnaire a été administré en ligne via Google Forms et partagé auprès de 19 enseignants de langues vivantes provenant de différents niveaux éducatifs : universités, collèges et lycées. Cette approche exploratoire large visait à obtenir une vue globale des pratiques d'IA générative dans l'enseignement des langues, au-delà du contexte spécifique du collège dans lequel s'est déroulée l'étude expérimentale principale.</w:t>
      </w:r>
      <w:r w:rsidR="004132E5">
        <w:t xml:space="preserve"> </w:t>
      </w:r>
    </w:p>
    <w:p w14:paraId="00922CFB" w14:textId="3C64EC09" w:rsidR="005A5F6F" w:rsidRDefault="005A5F6F" w:rsidP="00363D27">
      <w:r>
        <w:t xml:space="preserve">[Transition </w:t>
      </w:r>
      <w:proofErr w:type="spellStart"/>
      <w:r>
        <w:t>paragraph</w:t>
      </w:r>
      <w:proofErr w:type="spellEnd"/>
      <w:r>
        <w:t xml:space="preserve"> -&gt;]</w:t>
      </w:r>
    </w:p>
    <w:p w14:paraId="34B60264" w14:textId="77777777" w:rsidR="004132E5" w:rsidRPr="00800497" w:rsidRDefault="004132E5" w:rsidP="004132E5">
      <w:pPr>
        <w:pStyle w:val="Heading2"/>
        <w:rPr>
          <w:rFonts w:ascii="Apple Color Emoji" w:hAnsi="Apple Color Emoji"/>
          <w:lang w:val="fr-FR"/>
        </w:rPr>
      </w:pPr>
      <w:proofErr w:type="spellStart"/>
      <w:r w:rsidRPr="00800497">
        <w:rPr>
          <w:lang w:val="fr-FR"/>
        </w:rPr>
        <w:t>Context</w:t>
      </w:r>
      <w:proofErr w:type="spellEnd"/>
      <w:r w:rsidRPr="00800497">
        <w:rPr>
          <w:lang w:val="fr-FR"/>
        </w:rPr>
        <w:t xml:space="preserve"> </w:t>
      </w:r>
      <w:r w:rsidRPr="00800497">
        <w:rPr>
          <w:rFonts w:ascii="Apple Color Emoji" w:hAnsi="Apple Color Emoji"/>
          <w:lang w:val="fr-FR"/>
        </w:rPr>
        <w:t>✅</w:t>
      </w:r>
    </w:p>
    <w:p w14:paraId="71367C91" w14:textId="63B7512C" w:rsidR="001141FD" w:rsidRDefault="001141FD" w:rsidP="001141FD">
      <w:pPr>
        <w:pStyle w:val="Heading2"/>
        <w:rPr>
          <w:lang w:val="fr-FR"/>
        </w:rPr>
      </w:pPr>
      <w:proofErr w:type="spellStart"/>
      <w:r w:rsidRPr="00800497">
        <w:rPr>
          <w:lang w:val="fr-FR"/>
        </w:rPr>
        <w:t>Research</w:t>
      </w:r>
      <w:proofErr w:type="spellEnd"/>
      <w:r w:rsidRPr="00800497">
        <w:rPr>
          <w:lang w:val="fr-FR"/>
        </w:rPr>
        <w:t xml:space="preserve"> design </w:t>
      </w:r>
      <w:r>
        <w:rPr>
          <w:lang w:val="fr-FR"/>
        </w:rPr>
        <w:t xml:space="preserve"> </w:t>
      </w:r>
    </w:p>
    <w:p w14:paraId="4F3B703C" w14:textId="77777777" w:rsidR="006E169C" w:rsidRPr="006E169C" w:rsidRDefault="006E169C" w:rsidP="006E169C">
      <w:pPr>
        <w:rPr>
          <w:lang w:val="en-FR"/>
        </w:rPr>
      </w:pPr>
      <w:r w:rsidRPr="006E169C">
        <w:rPr>
          <w:lang w:val="en-FR"/>
        </w:rPr>
        <w:t>Design de Recherche</w:t>
      </w:r>
    </w:p>
    <w:p w14:paraId="364D7FC5" w14:textId="77777777" w:rsidR="006E169C" w:rsidRPr="006E169C" w:rsidRDefault="006E169C" w:rsidP="006E169C">
      <w:pPr>
        <w:rPr>
          <w:lang w:val="en-FR"/>
        </w:rPr>
      </w:pPr>
      <w:r w:rsidRPr="006E169C">
        <w:rPr>
          <w:lang w:val="en-FR"/>
        </w:rPr>
        <w:t>Cette expérience vise à mieux comprendre comment l'IA peut vraiment aider à préparer les cours de langues vivantes, et comment les profs adaptent ces outils à leurs propres besoins en classe.</w:t>
      </w:r>
    </w:p>
    <w:p w14:paraId="562B7777" w14:textId="77777777" w:rsidR="006E169C" w:rsidRPr="006E169C" w:rsidRDefault="006E169C" w:rsidP="006E169C">
      <w:pPr>
        <w:rPr>
          <w:lang w:val="en-FR"/>
        </w:rPr>
      </w:pPr>
      <w:r w:rsidRPr="006E169C">
        <w:rPr>
          <w:lang w:val="en-FR"/>
        </w:rPr>
        <w:t>Structure générale:</w:t>
      </w:r>
    </w:p>
    <w:p w14:paraId="5C92F455" w14:textId="77777777" w:rsidR="006E169C" w:rsidRPr="006E169C" w:rsidRDefault="006E169C" w:rsidP="006E169C">
      <w:pPr>
        <w:rPr>
          <w:lang w:val="en-FR"/>
        </w:rPr>
      </w:pPr>
      <w:r w:rsidRPr="006E169C">
        <w:rPr>
          <w:lang w:val="en-FR"/>
        </w:rPr>
        <w:t>L'étude repose sur un design deux-phases, où chaque participant planifie une leçon dans deux conditions distinctes. Cette structure comparative permet d'examiner les processus de planification et de capturer les moments de décision où les enseignants acceptent, modifient ou rejettent les suggestions créées par l’IA générative de leur choix.</w:t>
      </w:r>
    </w:p>
    <w:p w14:paraId="0CB4547F" w14:textId="77777777" w:rsidR="006E169C" w:rsidRPr="006E169C" w:rsidRDefault="006E169C" w:rsidP="006E169C">
      <w:pPr>
        <w:rPr>
          <w:lang w:val="en-FR"/>
        </w:rPr>
      </w:pPr>
      <w:r w:rsidRPr="006E169C">
        <w:rPr>
          <w:lang w:val="en-FR"/>
        </w:rPr>
        <w:t>Logique du design:</w:t>
      </w:r>
    </w:p>
    <w:p w14:paraId="7D1A4A06" w14:textId="77777777" w:rsidR="006E169C" w:rsidRPr="006E169C" w:rsidRDefault="006E169C" w:rsidP="006E169C">
      <w:pPr>
        <w:rPr>
          <w:lang w:val="en-FR"/>
        </w:rPr>
      </w:pPr>
      <w:r w:rsidRPr="006E169C">
        <w:rPr>
          <w:lang w:val="en-FR"/>
        </w:rPr>
        <w:t>Phase I: Planification manuelle (sans technologie) établit un baseline des processus cognitifs enseignants guidés uniquement par leur cognition professionnelle (Borg, 2003).</w:t>
      </w:r>
    </w:p>
    <w:p w14:paraId="7496C9BA" w14:textId="77777777" w:rsidR="006E169C" w:rsidRPr="006E169C" w:rsidRDefault="006E169C" w:rsidP="006E169C">
      <w:pPr>
        <w:rPr>
          <w:lang w:val="en-FR"/>
        </w:rPr>
      </w:pPr>
      <w:r w:rsidRPr="006E169C">
        <w:rPr>
          <w:lang w:val="en-FR"/>
        </w:rPr>
        <w:t>Phase II: Planification avec IA générative révèle comment les enseignants naviguent entre leurs attentes pédagogiques et les suggestions externes.</w:t>
      </w:r>
    </w:p>
    <w:p w14:paraId="174BE281" w14:textId="6B4703E2" w:rsidR="00D21E3F" w:rsidRDefault="00D21E3F" w:rsidP="006E169C">
      <w:pPr>
        <w:rPr>
          <w:lang w:val="en-FR"/>
        </w:rPr>
      </w:pPr>
      <w:r w:rsidRPr="00D21E3F">
        <w:rPr>
          <w:lang w:val="en-FR"/>
        </w:rPr>
        <w:t xml:space="preserve">Cette approche comparative nous permettra d’analyser les choix opérés </w:t>
      </w:r>
      <w:r>
        <w:rPr>
          <w:lang w:val="en-FR"/>
        </w:rPr>
        <w:t>pour l’i</w:t>
      </w:r>
      <w:r w:rsidRPr="00D21E3F">
        <w:rPr>
          <w:lang w:val="en-FR"/>
        </w:rPr>
        <w:t>ntégration des suggestions fournies par l’IA générative, de déterminer dans quelle mesure ces suggestions peuvent être adoptées et d’identifier les facteurs influençant l’intention d’adoption.</w:t>
      </w:r>
    </w:p>
    <w:p w14:paraId="29494804" w14:textId="77777777" w:rsidR="00D21E3F" w:rsidRDefault="00D21E3F" w:rsidP="006E169C">
      <w:pPr>
        <w:rPr>
          <w:lang w:val="en-FR"/>
        </w:rPr>
      </w:pPr>
    </w:p>
    <w:p w14:paraId="5E3C8DCC" w14:textId="553D3C90" w:rsidR="006E169C" w:rsidRPr="006E169C" w:rsidRDefault="006E169C" w:rsidP="006E169C">
      <w:pPr>
        <w:rPr>
          <w:lang w:val="en-FR"/>
        </w:rPr>
      </w:pPr>
      <w:r w:rsidRPr="006E169C">
        <w:rPr>
          <w:lang w:val="en-FR"/>
        </w:rPr>
        <w:t>Approche méthodologique:</w:t>
      </w:r>
    </w:p>
    <w:p w14:paraId="5418A2ED" w14:textId="77777777" w:rsidR="006E169C" w:rsidRPr="006E169C" w:rsidRDefault="006E169C" w:rsidP="006E169C">
      <w:pPr>
        <w:rPr>
          <w:lang w:val="en-FR"/>
        </w:rPr>
      </w:pPr>
      <w:r w:rsidRPr="006E169C">
        <w:rPr>
          <w:lang w:val="en-FR"/>
        </w:rPr>
        <w:t xml:space="preserve">L'étude combine des données qualitatives et quantitatives, </w:t>
      </w:r>
    </w:p>
    <w:p w14:paraId="502F3371" w14:textId="77777777" w:rsidR="006E169C" w:rsidRPr="006E169C" w:rsidRDefault="006E169C" w:rsidP="006E169C">
      <w:pPr>
        <w:rPr>
          <w:lang w:val="en-FR"/>
        </w:rPr>
      </w:pPr>
      <w:r w:rsidRPr="006E169C">
        <w:rPr>
          <w:lang w:val="en-FR"/>
        </w:rPr>
        <w:lastRenderedPageBreak/>
        <w:t>Données quantitatives : timing (Phase I vs Phase II), fréquences de modification/acceptation/rejet des suggestions IA</w:t>
      </w:r>
    </w:p>
    <w:p w14:paraId="65EBE8BE" w14:textId="3DD54B9F" w:rsidR="006E169C" w:rsidRPr="006E169C" w:rsidRDefault="006E169C" w:rsidP="006E169C">
      <w:pPr>
        <w:rPr>
          <w:lang w:val="en-FR"/>
        </w:rPr>
      </w:pPr>
      <w:r w:rsidRPr="006E169C">
        <w:rPr>
          <w:lang w:val="en-FR"/>
        </w:rPr>
        <w:t>Données qualitatives : contenu des plans de cours, interactions avec les outils IA (enregistrement d'écran), feedback post-test et reasoning enseignant</w:t>
      </w:r>
    </w:p>
    <w:p w14:paraId="3B007BCF" w14:textId="2D2CAE24" w:rsidR="001141FD" w:rsidRDefault="001141FD" w:rsidP="001141FD">
      <w:pPr>
        <w:pStyle w:val="Heading2"/>
        <w:rPr>
          <w:lang w:val="fr-FR"/>
        </w:rPr>
      </w:pPr>
      <w:r w:rsidRPr="00800497">
        <w:rPr>
          <w:lang w:val="fr-FR"/>
        </w:rPr>
        <w:t xml:space="preserve">Data collection </w:t>
      </w:r>
    </w:p>
    <w:p w14:paraId="2A709112" w14:textId="77777777" w:rsidR="009D5EF8" w:rsidRDefault="009D5EF8" w:rsidP="009D5EF8">
      <w:r>
        <w:t>Collecte de Données</w:t>
      </w:r>
    </w:p>
    <w:p w14:paraId="3B7A3A94" w14:textId="77777777" w:rsidR="009D5EF8" w:rsidRDefault="009D5EF8" w:rsidP="009D5EF8">
      <w:r>
        <w:t>Pour documenter les processus de planification pédagogique et avoir le feedback enseignant concernant l'évaluation et l'intégration de l'IA générative les données suivantes ont été collectées :</w:t>
      </w:r>
    </w:p>
    <w:p w14:paraId="5B260DD7" w14:textId="77777777" w:rsidR="009D5EF8" w:rsidRDefault="009D5EF8" w:rsidP="009D5EF8">
      <w:r>
        <w:t>Plans de cours</w:t>
      </w:r>
    </w:p>
    <w:p w14:paraId="5DEDD548" w14:textId="77777777" w:rsidR="009D5EF8" w:rsidRDefault="009D5EF8" w:rsidP="009D5EF8">
      <w:r>
        <w:t xml:space="preserve">Chaque plan de leçon final remis 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w:t>
      </w:r>
      <w:proofErr w:type="gramStart"/>
      <w:r>
        <w:t>II?</w:t>
      </w:r>
      <w:proofErr w:type="gramEnd"/>
      <w:r>
        <w:t xml:space="preserve"> Quelle correspondance existe entre ce que l'enseignant a planifié naturellement et ce que l'IA a </w:t>
      </w:r>
      <w:proofErr w:type="gramStart"/>
      <w:r>
        <w:t>proposé?</w:t>
      </w:r>
      <w:proofErr w:type="gramEnd"/>
      <w:r>
        <w:t xml:space="preserve"> </w:t>
      </w:r>
    </w:p>
    <w:p w14:paraId="081C25BE" w14:textId="77777777" w:rsidR="009D5EF8" w:rsidRDefault="009D5EF8" w:rsidP="009D5EF8">
      <w:proofErr w:type="gramStart"/>
      <w:r>
        <w:t>Timing</w:t>
      </w:r>
      <w:proofErr w:type="gramEnd"/>
      <w:r>
        <w:t xml:space="preserve"> (Chronomètre)</w:t>
      </w:r>
    </w:p>
    <w:p w14:paraId="3AE0A3CB" w14:textId="5D035C26" w:rsidR="009D5EF8" w:rsidRDefault="009D5EF8" w:rsidP="009D5EF8">
      <w:bookmarkStart w:id="57" w:name="_Hlk232451719"/>
      <w:r>
        <w:t xml:space="preserve">Bien que le </w:t>
      </w:r>
      <w:r w:rsidR="00572160">
        <w:t>minutage</w:t>
      </w:r>
      <w:r>
        <w:t xml:space="preserve"> ait été initialement prévu comme instrument de collecte de données, tous les participants ont donné leur consentement explicite pour un enregistrement vidéo de Phase I et Phase II. Par conséquent, la mesure du temps a été extraite de l'enregistrement vidéo plutôt que d'un chronomètre séparé. Le </w:t>
      </w:r>
      <w:r w:rsidR="00572160">
        <w:t>minutage</w:t>
      </w:r>
      <w:r>
        <w:t xml:space="preserve"> enregistré mesure directement une dimension clé du modèle TAM (Davis, 1989) : la perception d'utilité temporelle. La comparaison Phase I vs Phase II révèle si l'accès à l'IA générative économise réellement du temps, et comment la courbe d'apprentissage technologique influence l'efficacité de la planification.</w:t>
      </w:r>
    </w:p>
    <w:bookmarkEnd w:id="57"/>
    <w:p w14:paraId="56F87E4F" w14:textId="77777777" w:rsidR="009D5EF8" w:rsidRDefault="009D5EF8" w:rsidP="009D5EF8">
      <w:r>
        <w:t>Note méthodologique : Si un participant n'avait pas consenti à l'enregistrement vidéo, un chronomètre manuel aurait été utilisé pour capturer les durées exactes.</w:t>
      </w:r>
    </w:p>
    <w:p w14:paraId="16127531" w14:textId="77777777" w:rsidR="009D5EF8" w:rsidRDefault="009D5EF8" w:rsidP="009D5EF8">
      <w:r>
        <w:t>Enregistrement d'écran (Phase II uniquement)</w:t>
      </w:r>
    </w:p>
    <w:p w14:paraId="5D26A022" w14:textId="77777777" w:rsidR="009D5EF8" w:rsidRDefault="009D5EF8" w:rsidP="009D5EF8">
      <w:r>
        <w:t xml:space="preserve">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w:t>
      </w:r>
      <w:proofErr w:type="gramStart"/>
      <w:r>
        <w:t>options?</w:t>
      </w:r>
      <w:proofErr w:type="gramEnd"/>
      <w:r>
        <w:t xml:space="preserve"> Revient-il à un même </w:t>
      </w:r>
      <w:r>
        <w:lastRenderedPageBreak/>
        <w:t xml:space="preserve">outil plusieurs </w:t>
      </w:r>
      <w:proofErr w:type="gramStart"/>
      <w:r>
        <w:t>fois?</w:t>
      </w:r>
      <w:proofErr w:type="gramEnd"/>
      <w:r>
        <w:t xml:space="preserve"> Combine-t-il les résultats de différentes </w:t>
      </w:r>
      <w:proofErr w:type="gramStart"/>
      <w:r>
        <w:t>sources?</w:t>
      </w:r>
      <w:proofErr w:type="gramEnd"/>
      <w:r>
        <w:t xml:space="preserve"> Ces observations révèlent la navigation technologique et la stratégie d'intégration sans dépendre de la mémoire ou de l'articulation enseignante après coup.</w:t>
      </w:r>
    </w:p>
    <w:p w14:paraId="2DDA0F32" w14:textId="77777777" w:rsidR="009D5EF8" w:rsidRDefault="009D5EF8" w:rsidP="009D5EF8">
      <w:r>
        <w:t>Enregistrement de vidéo (Phase I et Phase II)</w:t>
      </w:r>
    </w:p>
    <w:p w14:paraId="2185B8A6" w14:textId="77777777" w:rsidR="009D5EF8" w:rsidRDefault="009D5EF8" w:rsidP="009D5EF8">
      <w:r>
        <w:t>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moments clés (hésitation prolongée, frustration, satisfaction soudaine), les pauses réflexives, et les réactions non-verbales aux suggestions d’IA. Ces observations qualitatives contextualisent l'analyse des plans de cours et complètent le feedback post-test en révélant les processus cognitifs à l'œuvre lors de la planification.</w:t>
      </w:r>
    </w:p>
    <w:p w14:paraId="220976B9" w14:textId="77777777" w:rsidR="009D5EF8" w:rsidRDefault="009D5EF8" w:rsidP="009D5EF8">
      <w:r>
        <w:t>Interactions IA exportées (PDF)</w:t>
      </w:r>
    </w:p>
    <w:p w14:paraId="601C5672" w14:textId="77777777" w:rsidR="009D5EF8" w:rsidRDefault="009D5EF8" w:rsidP="009D5EF8">
      <w:r>
        <w:t>À la fin de Phase II, l'ensemble des interactions avec l'outil (ou les outils) IA choisi(s) par le participant—tous les prompts formulés et toutes les réponses générées—a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3A2D38F1" w14:textId="77777777" w:rsidR="009D5EF8" w:rsidRDefault="009D5EF8" w:rsidP="009D5EF8">
      <w:r>
        <w:t>Formulaire de feedback post-test</w:t>
      </w:r>
    </w:p>
    <w:p w14:paraId="73EE541C" w14:textId="77777777" w:rsidR="009D5EF8" w:rsidRDefault="009D5EF8" w:rsidP="009D5EF8">
      <w:bookmarkStart w:id="58" w:name="_Hlk232453932"/>
      <w:r>
        <w:t xml:space="preserve">Après la </w:t>
      </w:r>
      <w:proofErr w:type="spellStart"/>
      <w:r>
        <w:t>completion</w:t>
      </w:r>
      <w:proofErr w:type="spellEnd"/>
      <w:r>
        <w:t xml:space="preserve"> des deux phases, chaque enseignant a rempli un formulaire de feedback structuré. Ce questionnaire collectait des données spécifiques répondant directement aux dimensions théoriques du cadre d'analyse :</w:t>
      </w:r>
    </w:p>
    <w:p w14:paraId="191D98DB" w14:textId="77777777" w:rsidR="009D5EF8" w:rsidRDefault="009D5EF8" w:rsidP="009D5EF8">
      <w:r>
        <w:t xml:space="preserve">Utilité perçue et efficacité temporelle (TAM, Davis 1989) : L'IA a-t-elle aidé à générer des </w:t>
      </w:r>
      <w:proofErr w:type="gramStart"/>
      <w:r>
        <w:t>idées?</w:t>
      </w:r>
      <w:proofErr w:type="gramEnd"/>
      <w:r>
        <w:t xml:space="preserve"> Avez-vous économisé du </w:t>
      </w:r>
      <w:proofErr w:type="gramStart"/>
      <w:r>
        <w:t>temps?</w:t>
      </w:r>
      <w:proofErr w:type="gramEnd"/>
    </w:p>
    <w:p w14:paraId="1F7DC594" w14:textId="77777777" w:rsidR="009D5EF8" w:rsidRDefault="009D5EF8" w:rsidP="009D5EF8">
      <w:r>
        <w:t xml:space="preserve">Facilité d'utilisation (TAM, Davis 1989) : Les outils étaient-ils faciles à </w:t>
      </w:r>
      <w:proofErr w:type="gramStart"/>
      <w:r>
        <w:t>utiliser?</w:t>
      </w:r>
      <w:proofErr w:type="gramEnd"/>
      <w:r>
        <w:t xml:space="preserve"> Les interfaces </w:t>
      </w:r>
      <w:proofErr w:type="gramStart"/>
      <w:r>
        <w:t>intuitives?</w:t>
      </w:r>
      <w:proofErr w:type="gramEnd"/>
    </w:p>
    <w:p w14:paraId="37118533" w14:textId="77777777" w:rsidR="009D5EF8" w:rsidRDefault="009D5EF8" w:rsidP="009D5EF8">
      <w:r>
        <w:t xml:space="preserve">Alignement pédagogique (Cognition enseignante, Borg 2003) : Les suggestions correspondaient-elles à votre philosophie d'enseignement et à vos croyances </w:t>
      </w:r>
      <w:proofErr w:type="gramStart"/>
      <w:r>
        <w:t>pédagogiques?</w:t>
      </w:r>
      <w:proofErr w:type="gramEnd"/>
    </w:p>
    <w:p w14:paraId="362FC57A" w14:textId="77777777" w:rsidR="009D5EF8" w:rsidRDefault="009D5EF8" w:rsidP="009D5EF8">
      <w:r>
        <w:t>Barrières identifiées (</w:t>
      </w:r>
      <w:proofErr w:type="spellStart"/>
      <w:r>
        <w:t>Ertmer</w:t>
      </w:r>
      <w:proofErr w:type="spellEnd"/>
      <w:r>
        <w:t xml:space="preserve"> &amp; </w:t>
      </w:r>
      <w:proofErr w:type="spellStart"/>
      <w:r>
        <w:t>Ottenbreit</w:t>
      </w:r>
      <w:proofErr w:type="spellEnd"/>
      <w:r>
        <w:t>-Leftwich, 2010) : Avez-vous rencontré des obstacles de premier ordre (techniques, temporels, matériels) ou de second ordre (croyances professionnelles, préoccupations éthiques</w:t>
      </w:r>
      <w:proofErr w:type="gramStart"/>
      <w:r>
        <w:t>)?</w:t>
      </w:r>
      <w:proofErr w:type="gramEnd"/>
    </w:p>
    <w:p w14:paraId="61B7ABE4" w14:textId="77777777" w:rsidR="009D5EF8" w:rsidRDefault="009D5EF8" w:rsidP="009D5EF8">
      <w:r>
        <w:lastRenderedPageBreak/>
        <w:t xml:space="preserve">Intention d'adoption (Rogers, 2003) : Utiliseriez-vous ces outils à </w:t>
      </w:r>
      <w:proofErr w:type="gramStart"/>
      <w:r>
        <w:t>l'avenir?</w:t>
      </w:r>
      <w:proofErr w:type="gramEnd"/>
      <w:r>
        <w:t xml:space="preserve"> Pourquoi/pourquoi </w:t>
      </w:r>
      <w:proofErr w:type="gramStart"/>
      <w:r>
        <w:t>pas?</w:t>
      </w:r>
      <w:proofErr w:type="gramEnd"/>
    </w:p>
    <w:p w14:paraId="5E4A2A1C" w14:textId="77777777" w:rsidR="009D5EF8" w:rsidRDefault="009D5EF8" w:rsidP="009D5EF8">
      <w:r>
        <w:t xml:space="preserve">Modifications souhaitées : Qu'auriez-vous changé dans les suggestions IA pour qu'elles soient plus alignées à vos </w:t>
      </w:r>
      <w:proofErr w:type="gramStart"/>
      <w:r>
        <w:t>attentes?</w:t>
      </w:r>
      <w:proofErr w:type="gramEnd"/>
    </w:p>
    <w:bookmarkEnd w:id="58"/>
    <w:p w14:paraId="4B07BEDD" w14:textId="5E3E5DAB" w:rsidR="009D5EF8" w:rsidRPr="009D5EF8" w:rsidRDefault="009D5EF8" w:rsidP="009D5EF8">
      <w:r>
        <w:t>Ce formulaire capture la perception enseignante et le raisonnement que les données observationnelles seules ne peuvent pas révéler. Seul l'enseignant peut articuler pourquoi il/elle a rejeté une suggestion (raison pédagogique vs barrière contextuelle), comment il/elle évalue l'utilité réelle de l'outil, et si une adoption future est envisagée—données centrales pour répondre à la question de recherche.</w:t>
      </w:r>
    </w:p>
    <w:p w14:paraId="54EE375C" w14:textId="77777777" w:rsidR="001141FD" w:rsidRPr="00363D27" w:rsidRDefault="00150060" w:rsidP="001141FD">
      <w:pPr>
        <w:rPr>
          <w:b/>
          <w:bCs/>
        </w:rPr>
      </w:pPr>
      <w:proofErr w:type="spellStart"/>
      <w:r w:rsidRPr="006E169C">
        <w:rPr>
          <w:rStyle w:val="Heading2Char"/>
          <w:lang w:val="fr-FR"/>
        </w:rPr>
        <w:t>Experiment</w:t>
      </w:r>
      <w:proofErr w:type="spellEnd"/>
      <w:r w:rsidRPr="006E169C">
        <w:rPr>
          <w:rStyle w:val="Heading2Char"/>
          <w:lang w:val="fr-FR"/>
        </w:rPr>
        <w:t xml:space="preserve"> </w:t>
      </w:r>
      <w:r w:rsidR="001141FD" w:rsidRPr="006E169C">
        <w:rPr>
          <w:rStyle w:val="Heading2Char"/>
          <w:lang w:val="fr-FR"/>
        </w:rPr>
        <w:br/>
      </w:r>
      <w:r w:rsidR="001141FD" w:rsidRPr="00363D27">
        <w:rPr>
          <w:b/>
          <w:bCs/>
        </w:rPr>
        <w:t>Participants et Profils</w:t>
      </w:r>
    </w:p>
    <w:p w14:paraId="309E467D" w14:textId="12138E66" w:rsidR="001141FD" w:rsidRDefault="001141FD" w:rsidP="001141FD">
      <w:r>
        <w:t xml:space="preserve">Cette étude a impliqué 7 enseignants de langues vivantes au collège Charles de Gaulle, Saint Pierre de Chandieu, de l'académie de Lyon. Ces enseignants ont préalablement répondu au questionnaire exploratoire (Annexe 1) 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w:t>
      </w:r>
      <w:proofErr w:type="spellStart"/>
      <w:r>
        <w:t>designé</w:t>
      </w:r>
      <w:proofErr w:type="spellEnd"/>
      <w:r>
        <w:t xml:space="preserve"> un code spécifique (de PE01 à PE07) pour garder leur identité </w:t>
      </w:r>
      <w:proofErr w:type="spellStart"/>
      <w:r>
        <w:t>annoynme</w:t>
      </w:r>
      <w:proofErr w:type="spellEnd"/>
      <w:r>
        <w:t xml:space="preserve">. </w:t>
      </w:r>
    </w:p>
    <w:p w14:paraId="4302F0F3" w14:textId="77777777" w:rsidR="001141FD" w:rsidRPr="001141FD" w:rsidRDefault="001141FD" w:rsidP="001141FD">
      <w:pPr>
        <w:jc w:val="center"/>
        <w:rPr>
          <w:rFonts w:ascii="Times New Roman" w:hAnsi="Times New Roman" w:cs="Times New Roman"/>
          <w:sz w:val="24"/>
          <w:szCs w:val="24"/>
        </w:rPr>
      </w:pPr>
      <w:r w:rsidRPr="001141FD">
        <w:rPr>
          <w:rFonts w:ascii="Times New Roman" w:hAnsi="Times New Roman" w:cs="Times New Roman"/>
          <w:b/>
          <w:bCs/>
          <w:sz w:val="24"/>
          <w:szCs w:val="24"/>
        </w:rPr>
        <w:t>Profil démographique, professionnel et technologique :</w:t>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30"/>
        <w:gridCol w:w="1386"/>
        <w:gridCol w:w="1816"/>
        <w:gridCol w:w="1509"/>
        <w:gridCol w:w="1398"/>
        <w:gridCol w:w="1723"/>
      </w:tblGrid>
      <w:tr w:rsidR="001141FD" w14:paraId="4840A53A" w14:textId="77777777" w:rsidTr="00B358FD">
        <w:trPr>
          <w:jc w:val="center"/>
        </w:trPr>
        <w:tc>
          <w:tcPr>
            <w:tcW w:w="1230" w:type="dxa"/>
            <w:vAlign w:val="center"/>
          </w:tcPr>
          <w:p w14:paraId="62E26787"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Code</w:t>
            </w:r>
          </w:p>
        </w:tc>
        <w:tc>
          <w:tcPr>
            <w:tcW w:w="1386" w:type="dxa"/>
            <w:vAlign w:val="center"/>
          </w:tcPr>
          <w:p w14:paraId="22AA8A4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Langue enseigner</w:t>
            </w:r>
          </w:p>
        </w:tc>
        <w:tc>
          <w:tcPr>
            <w:tcW w:w="1816" w:type="dxa"/>
            <w:vAlign w:val="center"/>
          </w:tcPr>
          <w:p w14:paraId="038860CD"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Années d’</w:t>
            </w:r>
            <w:proofErr w:type="spellStart"/>
            <w:r w:rsidRPr="00391B98">
              <w:rPr>
                <w:rFonts w:ascii="Times New Roman" w:hAnsi="Times New Roman" w:cs="Times New Roman"/>
                <w:b/>
                <w:bCs/>
                <w:sz w:val="24"/>
                <w:szCs w:val="24"/>
              </w:rPr>
              <w:t>experience</w:t>
            </w:r>
            <w:proofErr w:type="spellEnd"/>
            <w:r w:rsidRPr="00391B98">
              <w:rPr>
                <w:rFonts w:ascii="Times New Roman" w:hAnsi="Times New Roman" w:cs="Times New Roman"/>
                <w:b/>
                <w:bCs/>
                <w:sz w:val="24"/>
                <w:szCs w:val="24"/>
              </w:rPr>
              <w:t xml:space="preserve"> d’enseignement</w:t>
            </w:r>
          </w:p>
        </w:tc>
        <w:tc>
          <w:tcPr>
            <w:tcW w:w="1509" w:type="dxa"/>
            <w:vAlign w:val="center"/>
          </w:tcPr>
          <w:p w14:paraId="21F64E20"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 d’expertise d’IA générative</w:t>
            </w:r>
          </w:p>
        </w:tc>
        <w:tc>
          <w:tcPr>
            <w:tcW w:w="1398" w:type="dxa"/>
            <w:vAlign w:val="center"/>
          </w:tcPr>
          <w:p w14:paraId="011FD734"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Niveaux Enseignés au Collège</w:t>
            </w:r>
          </w:p>
        </w:tc>
        <w:tc>
          <w:tcPr>
            <w:tcW w:w="1723" w:type="dxa"/>
            <w:vAlign w:val="center"/>
          </w:tcPr>
          <w:p w14:paraId="3D8F947F" w14:textId="77777777" w:rsidR="001141FD" w:rsidRPr="00391B98" w:rsidRDefault="001141FD" w:rsidP="00B358FD">
            <w:pPr>
              <w:jc w:val="center"/>
              <w:rPr>
                <w:rFonts w:ascii="Times New Roman" w:hAnsi="Times New Roman" w:cs="Times New Roman"/>
                <w:b/>
                <w:bCs/>
                <w:sz w:val="24"/>
                <w:szCs w:val="24"/>
              </w:rPr>
            </w:pPr>
            <w:r w:rsidRPr="00391B98">
              <w:rPr>
                <w:rFonts w:ascii="Times New Roman" w:hAnsi="Times New Roman" w:cs="Times New Roman"/>
                <w:b/>
                <w:bCs/>
                <w:sz w:val="24"/>
                <w:szCs w:val="24"/>
              </w:rPr>
              <w:t>Commentaires</w:t>
            </w:r>
          </w:p>
        </w:tc>
      </w:tr>
      <w:tr w:rsidR="001141FD" w14:paraId="62401E51" w14:textId="77777777" w:rsidTr="00B358FD">
        <w:trPr>
          <w:jc w:val="center"/>
        </w:trPr>
        <w:tc>
          <w:tcPr>
            <w:tcW w:w="1230" w:type="dxa"/>
            <w:vAlign w:val="center"/>
          </w:tcPr>
          <w:p w14:paraId="730F863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PE01</w:t>
            </w:r>
          </w:p>
        </w:tc>
        <w:tc>
          <w:tcPr>
            <w:tcW w:w="1386" w:type="dxa"/>
            <w:vAlign w:val="center"/>
          </w:tcPr>
          <w:p w14:paraId="359E197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Anglais</w:t>
            </w:r>
          </w:p>
        </w:tc>
        <w:tc>
          <w:tcPr>
            <w:tcW w:w="1816" w:type="dxa"/>
            <w:vAlign w:val="center"/>
          </w:tcPr>
          <w:p w14:paraId="0D43F0BB"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22</w:t>
            </w:r>
          </w:p>
        </w:tc>
        <w:tc>
          <w:tcPr>
            <w:tcW w:w="1509" w:type="dxa"/>
            <w:vAlign w:val="center"/>
          </w:tcPr>
          <w:p w14:paraId="0276EB23"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Novice</w:t>
            </w:r>
          </w:p>
        </w:tc>
        <w:tc>
          <w:tcPr>
            <w:tcW w:w="1398" w:type="dxa"/>
            <w:vAlign w:val="center"/>
          </w:tcPr>
          <w:p w14:paraId="27274FD8"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6e, 5e, 4e, 3e</w:t>
            </w:r>
          </w:p>
        </w:tc>
        <w:tc>
          <w:tcPr>
            <w:tcW w:w="1723" w:type="dxa"/>
            <w:vAlign w:val="center"/>
          </w:tcPr>
          <w:p w14:paraId="2A2ED8CE"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sz w:val="24"/>
                <w:szCs w:val="24"/>
              </w:rPr>
              <w:t>Début de carrière au Lycée</w:t>
            </w:r>
          </w:p>
        </w:tc>
      </w:tr>
      <w:tr w:rsidR="001141FD" w14:paraId="6DBBF04E" w14:textId="77777777" w:rsidTr="00B358FD">
        <w:trPr>
          <w:jc w:val="center"/>
        </w:trPr>
        <w:tc>
          <w:tcPr>
            <w:tcW w:w="1230" w:type="dxa"/>
            <w:vAlign w:val="center"/>
          </w:tcPr>
          <w:p w14:paraId="50D7EE3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PE02</w:t>
            </w:r>
          </w:p>
        </w:tc>
        <w:tc>
          <w:tcPr>
            <w:tcW w:w="1386" w:type="dxa"/>
            <w:vAlign w:val="center"/>
          </w:tcPr>
          <w:p w14:paraId="06DA267F"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7A03954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11</w:t>
            </w:r>
          </w:p>
        </w:tc>
        <w:tc>
          <w:tcPr>
            <w:tcW w:w="1509" w:type="dxa"/>
            <w:vAlign w:val="center"/>
          </w:tcPr>
          <w:p w14:paraId="7683898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2F40091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4e, 3e</w:t>
            </w:r>
          </w:p>
        </w:tc>
        <w:tc>
          <w:tcPr>
            <w:tcW w:w="1723" w:type="dxa"/>
            <w:vAlign w:val="center"/>
          </w:tcPr>
          <w:p w14:paraId="46A9735F" w14:textId="77777777" w:rsidR="001141FD" w:rsidRPr="00391B98" w:rsidRDefault="001141FD" w:rsidP="00B358FD">
            <w:pPr>
              <w:jc w:val="center"/>
              <w:rPr>
                <w:rFonts w:ascii="Times New Roman" w:hAnsi="Times New Roman" w:cs="Times New Roman"/>
                <w:sz w:val="24"/>
                <w:szCs w:val="24"/>
              </w:rPr>
            </w:pPr>
            <w:r w:rsidRPr="00391B98">
              <w:rPr>
                <w:rFonts w:ascii="Times New Roman" w:hAnsi="Times New Roman" w:cs="Times New Roman"/>
                <w:color w:val="000000"/>
                <w:sz w:val="24"/>
                <w:szCs w:val="24"/>
              </w:rPr>
              <w:t>6 ans Lycée, 5 ans Collège</w:t>
            </w:r>
          </w:p>
        </w:tc>
      </w:tr>
      <w:tr w:rsidR="001141FD" w14:paraId="618C443D" w14:textId="77777777" w:rsidTr="00B358FD">
        <w:trPr>
          <w:jc w:val="center"/>
        </w:trPr>
        <w:tc>
          <w:tcPr>
            <w:tcW w:w="1230" w:type="dxa"/>
            <w:vAlign w:val="center"/>
          </w:tcPr>
          <w:p w14:paraId="5DFED6A5"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PE03</w:t>
            </w:r>
          </w:p>
        </w:tc>
        <w:tc>
          <w:tcPr>
            <w:tcW w:w="1386" w:type="dxa"/>
            <w:vAlign w:val="center"/>
          </w:tcPr>
          <w:p w14:paraId="147D70F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2B63018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03E7D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85E68DB"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8E9847B" w14:textId="77777777" w:rsidR="001141FD" w:rsidRPr="00391B98" w:rsidRDefault="001141FD" w:rsidP="00B358FD">
            <w:pPr>
              <w:jc w:val="center"/>
              <w:rPr>
                <w:rFonts w:ascii="Times New Roman" w:hAnsi="Times New Roman" w:cs="Times New Roman"/>
                <w:color w:val="000000"/>
                <w:sz w:val="24"/>
                <w:szCs w:val="24"/>
              </w:rPr>
            </w:pPr>
          </w:p>
        </w:tc>
      </w:tr>
      <w:tr w:rsidR="001141FD" w14:paraId="0D6D117B" w14:textId="77777777" w:rsidTr="00B358FD">
        <w:trPr>
          <w:jc w:val="center"/>
        </w:trPr>
        <w:tc>
          <w:tcPr>
            <w:tcW w:w="1230" w:type="dxa"/>
            <w:vAlign w:val="center"/>
          </w:tcPr>
          <w:p w14:paraId="5D22C508"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PE04</w:t>
            </w:r>
          </w:p>
        </w:tc>
        <w:tc>
          <w:tcPr>
            <w:tcW w:w="1386" w:type="dxa"/>
            <w:vAlign w:val="center"/>
          </w:tcPr>
          <w:p w14:paraId="19ED9AD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Français</w:t>
            </w:r>
          </w:p>
        </w:tc>
        <w:tc>
          <w:tcPr>
            <w:tcW w:w="1816" w:type="dxa"/>
            <w:vAlign w:val="center"/>
          </w:tcPr>
          <w:p w14:paraId="4B595F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w:t>
            </w:r>
          </w:p>
        </w:tc>
        <w:tc>
          <w:tcPr>
            <w:tcW w:w="1509" w:type="dxa"/>
            <w:vAlign w:val="center"/>
          </w:tcPr>
          <w:p w14:paraId="3EA2491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72DB506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6e, 5e, 4e, 3e</w:t>
            </w:r>
          </w:p>
        </w:tc>
        <w:tc>
          <w:tcPr>
            <w:tcW w:w="1723" w:type="dxa"/>
            <w:vAlign w:val="center"/>
          </w:tcPr>
          <w:p w14:paraId="62A9213D" w14:textId="77777777" w:rsidR="001141FD" w:rsidRPr="00391B98" w:rsidRDefault="001141FD" w:rsidP="00B358FD">
            <w:pPr>
              <w:jc w:val="center"/>
              <w:rPr>
                <w:rFonts w:ascii="Times New Roman" w:hAnsi="Times New Roman" w:cs="Times New Roman"/>
                <w:color w:val="000000"/>
                <w:sz w:val="24"/>
                <w:szCs w:val="24"/>
              </w:rPr>
            </w:pPr>
          </w:p>
        </w:tc>
      </w:tr>
      <w:tr w:rsidR="001141FD" w14:paraId="79FAD339" w14:textId="77777777" w:rsidTr="00B358FD">
        <w:trPr>
          <w:jc w:val="center"/>
        </w:trPr>
        <w:tc>
          <w:tcPr>
            <w:tcW w:w="1230" w:type="dxa"/>
            <w:vAlign w:val="center"/>
          </w:tcPr>
          <w:p w14:paraId="2C4459E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lastRenderedPageBreak/>
              <w:t>PE05</w:t>
            </w:r>
          </w:p>
        </w:tc>
        <w:tc>
          <w:tcPr>
            <w:tcW w:w="1386" w:type="dxa"/>
            <w:vAlign w:val="center"/>
          </w:tcPr>
          <w:p w14:paraId="5538B71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7BD41F6D"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25</w:t>
            </w:r>
          </w:p>
        </w:tc>
        <w:tc>
          <w:tcPr>
            <w:tcW w:w="1509" w:type="dxa"/>
            <w:vAlign w:val="center"/>
          </w:tcPr>
          <w:p w14:paraId="13C69C66"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Intermédiaire</w:t>
            </w:r>
          </w:p>
        </w:tc>
        <w:tc>
          <w:tcPr>
            <w:tcW w:w="1398" w:type="dxa"/>
            <w:vAlign w:val="center"/>
          </w:tcPr>
          <w:p w14:paraId="456ABC03"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2ABB997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Début de carrière au Lycée</w:t>
            </w:r>
          </w:p>
        </w:tc>
      </w:tr>
      <w:tr w:rsidR="001141FD" w14:paraId="3E570AB0" w14:textId="77777777" w:rsidTr="00B358FD">
        <w:trPr>
          <w:jc w:val="center"/>
        </w:trPr>
        <w:tc>
          <w:tcPr>
            <w:tcW w:w="1230" w:type="dxa"/>
            <w:vAlign w:val="center"/>
          </w:tcPr>
          <w:p w14:paraId="26863AFA"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PE06</w:t>
            </w:r>
          </w:p>
        </w:tc>
        <w:tc>
          <w:tcPr>
            <w:tcW w:w="1386" w:type="dxa"/>
            <w:vAlign w:val="center"/>
          </w:tcPr>
          <w:p w14:paraId="069159AC"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Anglais</w:t>
            </w:r>
          </w:p>
        </w:tc>
        <w:tc>
          <w:tcPr>
            <w:tcW w:w="1816" w:type="dxa"/>
            <w:vAlign w:val="center"/>
          </w:tcPr>
          <w:p w14:paraId="1129CE97"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20</w:t>
            </w:r>
          </w:p>
        </w:tc>
        <w:tc>
          <w:tcPr>
            <w:tcW w:w="1509" w:type="dxa"/>
            <w:vAlign w:val="center"/>
          </w:tcPr>
          <w:p w14:paraId="0BE725B0"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Novice</w:t>
            </w:r>
          </w:p>
        </w:tc>
        <w:tc>
          <w:tcPr>
            <w:tcW w:w="1398" w:type="dxa"/>
            <w:vAlign w:val="center"/>
          </w:tcPr>
          <w:p w14:paraId="3D9D9892"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5e, 4e, 3e</w:t>
            </w:r>
          </w:p>
        </w:tc>
        <w:tc>
          <w:tcPr>
            <w:tcW w:w="1723" w:type="dxa"/>
            <w:vAlign w:val="center"/>
          </w:tcPr>
          <w:p w14:paraId="61F2E564" w14:textId="77777777" w:rsidR="001141FD" w:rsidRPr="00391B98" w:rsidRDefault="001141FD" w:rsidP="00B358FD">
            <w:pPr>
              <w:jc w:val="center"/>
              <w:rPr>
                <w:rFonts w:ascii="Times New Roman" w:hAnsi="Times New Roman" w:cs="Times New Roman"/>
                <w:color w:val="000000"/>
                <w:sz w:val="24"/>
                <w:szCs w:val="24"/>
              </w:rPr>
            </w:pPr>
            <w:r w:rsidRPr="00391B98">
              <w:rPr>
                <w:rFonts w:ascii="Times New Roman" w:hAnsi="Times New Roman" w:cs="Times New Roman"/>
                <w:color w:val="000000"/>
                <w:sz w:val="24"/>
                <w:szCs w:val="24"/>
              </w:rPr>
              <w:t>Hésitant face à l'IA générative</w:t>
            </w:r>
          </w:p>
        </w:tc>
      </w:tr>
      <w:tr w:rsidR="001141FD" w14:paraId="15F71886" w14:textId="77777777" w:rsidTr="00B358FD">
        <w:trPr>
          <w:jc w:val="center"/>
        </w:trPr>
        <w:tc>
          <w:tcPr>
            <w:tcW w:w="1230" w:type="dxa"/>
            <w:vAlign w:val="center"/>
          </w:tcPr>
          <w:p w14:paraId="2C41E83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PE07</w:t>
            </w:r>
          </w:p>
        </w:tc>
        <w:tc>
          <w:tcPr>
            <w:tcW w:w="1386" w:type="dxa"/>
            <w:vAlign w:val="center"/>
          </w:tcPr>
          <w:p w14:paraId="77765D7E"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Espagnol</w:t>
            </w:r>
          </w:p>
        </w:tc>
        <w:tc>
          <w:tcPr>
            <w:tcW w:w="1816" w:type="dxa"/>
            <w:vAlign w:val="center"/>
          </w:tcPr>
          <w:p w14:paraId="12EDB0F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24</w:t>
            </w:r>
          </w:p>
        </w:tc>
        <w:tc>
          <w:tcPr>
            <w:tcW w:w="1509" w:type="dxa"/>
            <w:vAlign w:val="center"/>
          </w:tcPr>
          <w:p w14:paraId="43AB0039"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Expert</w:t>
            </w:r>
          </w:p>
        </w:tc>
        <w:tc>
          <w:tcPr>
            <w:tcW w:w="1398" w:type="dxa"/>
            <w:vAlign w:val="center"/>
          </w:tcPr>
          <w:p w14:paraId="1234544A"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5e, 4e, 3e</w:t>
            </w:r>
          </w:p>
        </w:tc>
        <w:tc>
          <w:tcPr>
            <w:tcW w:w="1723" w:type="dxa"/>
            <w:vAlign w:val="center"/>
          </w:tcPr>
          <w:p w14:paraId="7C925C97" w14:textId="77777777" w:rsidR="001141FD" w:rsidRPr="00391B98" w:rsidRDefault="001141FD" w:rsidP="00B358FD">
            <w:pPr>
              <w:jc w:val="center"/>
              <w:rPr>
                <w:rFonts w:ascii="Times New Roman" w:hAnsi="Times New Roman" w:cs="Times New Roman"/>
                <w:color w:val="000000"/>
                <w:sz w:val="24"/>
                <w:szCs w:val="24"/>
              </w:rPr>
            </w:pPr>
            <w:r>
              <w:rPr>
                <w:rFonts w:ascii="Arial" w:hAnsi="Arial" w:cs="Arial"/>
                <w:color w:val="000000"/>
              </w:rPr>
              <w:t>Responsable IA de l'établissement</w:t>
            </w:r>
          </w:p>
        </w:tc>
      </w:tr>
    </w:tbl>
    <w:p w14:paraId="6A366812" w14:textId="77777777" w:rsidR="001141FD" w:rsidRDefault="001141FD" w:rsidP="001141FD">
      <w:r w:rsidRPr="001141FD">
        <w:b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w:t>
      </w:r>
      <w:r>
        <w:t xml:space="preserve"> </w:t>
      </w:r>
      <w:r w:rsidRPr="001141FD">
        <w:t>déroulée</w:t>
      </w:r>
      <w:r>
        <w:t xml:space="preserve"> </w:t>
      </w:r>
      <w:r w:rsidRPr="001141FD">
        <w:t>l'étude.</w:t>
      </w:r>
    </w:p>
    <w:p w14:paraId="5AA352CE" w14:textId="0316C580" w:rsidR="002E0118" w:rsidRDefault="002E0118" w:rsidP="001141FD">
      <w:r w:rsidRPr="002E0118">
        <w:t>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Cette variation enrichit l'analyse ultérieure des facteurs influençant l'adoption de l’IA générative</w:t>
      </w:r>
      <w:r>
        <w:t xml:space="preserve"> dans </w:t>
      </w:r>
      <w:proofErr w:type="gramStart"/>
      <w:r>
        <w:t>les établissement</w:t>
      </w:r>
      <w:proofErr w:type="gramEnd"/>
      <w:r>
        <w:t xml:space="preserve"> scolaires en France</w:t>
      </w:r>
      <w:r w:rsidRPr="002E0118">
        <w:t>.</w:t>
      </w:r>
    </w:p>
    <w:p w14:paraId="7499FFCF" w14:textId="0766529F" w:rsidR="00E25C77" w:rsidRPr="00E25C77" w:rsidRDefault="00E25C77" w:rsidP="00E25C77">
      <w:pPr>
        <w:pStyle w:val="NormalWeb"/>
        <w:spacing w:before="240" w:beforeAutospacing="0" w:after="240" w:afterAutospacing="0"/>
      </w:pPr>
      <w:r w:rsidRPr="00E25C77">
        <w:rPr>
          <w:rFonts w:ascii="Arial" w:hAnsi="Arial" w:cs="Arial"/>
          <w:b/>
          <w:bCs/>
          <w:color w:val="000000"/>
          <w:sz w:val="34"/>
          <w:szCs w:val="34"/>
        </w:rPr>
        <w:t>Phase I : Planification Manuelle (Baseline de la Cognition Enseignante)</w:t>
      </w:r>
    </w:p>
    <w:p w14:paraId="52F7A4E1"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br/>
      </w:r>
      <w:bookmarkStart w:id="59" w:name="_Hlk232493739"/>
      <w:r w:rsidRPr="00E25C77">
        <w:rPr>
          <w:rFonts w:ascii="Arial" w:eastAsia="Times New Roman" w:hAnsi="Arial" w:cs="Arial"/>
          <w:color w:val="000000"/>
          <w:lang w:val="en-FR" w:eastAsia="en-GB"/>
        </w:rPr>
        <w:t>Avant d’introduire l’IA générative, une première phase de planification a été mise en œuvre sans médiation technologique. Cette phase représente un niveau cognitif de base de référence (Hollingsworth, 1989) qui permet de comprendre la façon naturelle dont les enseignants s’instruisent, à l’aide exclusivement de leurs croyances professionnelles, leur expérience et leur connaissance de la pédagogie et du contenu (Borg, 2003 ; Shulman, 1987).</w:t>
      </w:r>
    </w:p>
    <w:bookmarkEnd w:id="59"/>
    <w:p w14:paraId="017D2F2C"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b/>
          <w:bCs/>
          <w:color w:val="000000"/>
          <w:lang w:val="en-FR" w:eastAsia="en-GB"/>
        </w:rPr>
        <w:t>Procédure:</w:t>
      </w:r>
      <w:r w:rsidRPr="00E25C77">
        <w:rPr>
          <w:rFonts w:ascii="Arial" w:eastAsia="Times New Roman" w:hAnsi="Arial" w:cs="Arial"/>
          <w:b/>
          <w:bCs/>
          <w:color w:val="000000"/>
          <w:lang w:val="en-FR" w:eastAsia="en-GB"/>
        </w:rPr>
        <w:br/>
      </w:r>
      <w:r w:rsidRPr="00E25C77">
        <w:rPr>
          <w:rFonts w:ascii="Arial" w:eastAsia="Times New Roman" w:hAnsi="Arial" w:cs="Arial"/>
          <w:b/>
          <w:bCs/>
          <w:color w:val="000000"/>
          <w:lang w:val="en-FR" w:eastAsia="en-GB"/>
        </w:rPr>
        <w:br/>
      </w:r>
      <w:r w:rsidRPr="00E25C77">
        <w:rPr>
          <w:rFonts w:ascii="Arial" w:eastAsia="Times New Roman" w:hAnsi="Arial" w:cs="Arial"/>
          <w:color w:val="000000"/>
          <w:lang w:val="en-FR" w:eastAsia="en-GB"/>
        </w:rPr>
        <w:t>Au début de la session, chaque participant a reçu des explications sur le protocole éthique et a signé un formulaire de consentement pour l’enregistrement vidéo des sessions qui restera anonyme (Annexe 2 et 4). L'examinatrice a ensuite présenté les instructions : l'enseignant recevrait un thème grammatical expliqué par l’examinatrice verbalement y compris le niveau d’éléves, et disposerait de 20 à 30 minutes pour élaborer un plan de cours de deux heures sur ce thème, entièrement sur papier A4 blanc, sans aucune aide extérieure. Un chronomètre va être lancé au moment où le thème est annoncé seulement si le consentement d’enregistrement de la vidéo n’est pas donné. L'enseignant a été invité à travailler à son rythme naturel et à annoncer verbalement « Terminé » une fois le plan finalisé. Le plan de cours à format papier à été gardé par l'examinatrice.</w:t>
      </w:r>
    </w:p>
    <w:p w14:paraId="2C6480F2"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r w:rsidRPr="00291E32">
        <w:rPr>
          <w:rFonts w:ascii="Arial" w:eastAsia="Times New Roman" w:hAnsi="Arial" w:cs="Arial"/>
          <w:color w:val="000000"/>
          <w:lang w:val="en-FR" w:eastAsia="en-GB"/>
        </w:rPr>
        <w:lastRenderedPageBreak/>
        <w:t>Chaque participant a planifié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 Cette sélection différenciée par discipline garantit que les plans élaborés reflètent une pratique pédagogique authentique plutôt qu'une tâche artificielle imposée uniformément, préservant ainsi la validité écologique de l'étude.</w:t>
      </w:r>
    </w:p>
    <w:p w14:paraId="26B394C3" w14:textId="77777777" w:rsidR="00291E32" w:rsidRPr="00291E32" w:rsidRDefault="00291E32" w:rsidP="00291E32">
      <w:pPr>
        <w:spacing w:after="0" w:line="240" w:lineRule="auto"/>
        <w:jc w:val="left"/>
        <w:textAlignment w:val="baseline"/>
        <w:rPr>
          <w:rFonts w:ascii="Arial" w:eastAsia="Times New Roman" w:hAnsi="Arial" w:cs="Arial"/>
          <w:color w:val="000000"/>
          <w:lang w:val="en-FR" w:eastAsia="en-GB"/>
        </w:rPr>
      </w:pPr>
    </w:p>
    <w:p w14:paraId="2BE514C7" w14:textId="77777777" w:rsidR="00291E32" w:rsidRDefault="00291E32" w:rsidP="00291E32">
      <w:pPr>
        <w:spacing w:after="0" w:line="240" w:lineRule="auto"/>
        <w:jc w:val="left"/>
        <w:textAlignment w:val="baseline"/>
        <w:rPr>
          <w:rFonts w:ascii="Arial" w:eastAsia="Times New Roman" w:hAnsi="Arial" w:cs="Arial"/>
          <w:color w:val="000000"/>
          <w:lang w:val="en-FR" w:eastAsia="en-GB"/>
        </w:rPr>
      </w:pPr>
    </w:p>
    <w:p w14:paraId="6982350B"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1E9E2A41"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F19A966" w14:textId="77777777" w:rsidR="00291E32" w:rsidRDefault="00291E32" w:rsidP="00291E32">
      <w:pPr>
        <w:spacing w:after="0" w:line="240" w:lineRule="auto"/>
        <w:ind w:left="720"/>
        <w:jc w:val="left"/>
        <w:textAlignment w:val="baseline"/>
        <w:rPr>
          <w:rFonts w:ascii="Arial" w:eastAsia="Times New Roman" w:hAnsi="Arial" w:cs="Arial"/>
          <w:color w:val="000000"/>
          <w:lang w:val="en-FR" w:eastAsia="en-GB"/>
        </w:rPr>
      </w:pPr>
    </w:p>
    <w:p w14:paraId="66BA6062" w14:textId="34C7C692" w:rsidR="00E25C77" w:rsidRPr="00E25C77" w:rsidRDefault="00E25C77" w:rsidP="00291E32">
      <w:pPr>
        <w:spacing w:after="0" w:line="240" w:lineRule="auto"/>
        <w:ind w:left="720"/>
        <w:jc w:val="left"/>
        <w:textAlignment w:val="baseline"/>
        <w:rPr>
          <w:rFonts w:ascii="Arial" w:eastAsia="Times New Roman" w:hAnsi="Arial" w:cs="Arial"/>
          <w:color w:val="000000"/>
          <w:lang w:val="en-FR" w:eastAsia="en-GB"/>
        </w:rPr>
      </w:pPr>
      <w:r w:rsidRPr="00E25C77">
        <w:rPr>
          <w:rFonts w:ascii="Arial" w:eastAsia="Times New Roman" w:hAnsi="Arial" w:cs="Arial"/>
          <w:b/>
          <w:bCs/>
          <w:color w:val="000000"/>
          <w:lang w:val="en-FR" w:eastAsia="en-GB"/>
        </w:rPr>
        <w:t>Rationale:</w:t>
      </w:r>
    </w:p>
    <w:p w14:paraId="17106C5E"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bookmarkStart w:id="60" w:name="_Hlk232495101"/>
      <w:r w:rsidRPr="00E25C77">
        <w:rPr>
          <w:rFonts w:ascii="Arial" w:eastAsia="Times New Roman" w:hAnsi="Arial" w:cs="Arial"/>
          <w:color w:val="000000"/>
          <w:lang w:val="en-FR" w:eastAsia="en-GB"/>
        </w:rPr>
        <w:t>Cette phase répond à la première dimension de la question de recherche : comprendre comment les enseignants évaluent et prennent des décisions pédagogiques. En l'absence de technologie, le plan de cours reflète directement les processus cognitifs décrits par Borg (2003) : les croyances pédagogiques, les connaissances disciplinaires, et l'interprétation du contexte de classe façonnent chaque choix (activités sélectionnées, durées, progressions, objectifs).</w:t>
      </w:r>
    </w:p>
    <w:bookmarkEnd w:id="60"/>
    <w:p w14:paraId="6C1A00AD" w14:textId="77777777" w:rsidR="00E25C77" w:rsidRPr="00E25C77" w:rsidRDefault="00E25C77" w:rsidP="00E25C77">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De plus, cette baseline permet d'examiner comment les enseignants appliquent les principes méthodologiques dans la pratique réelle. Comme l'indique Richards (1998), les enseignants adaptent constamment les ressources et les approches en fonction des besoins perçus des apprenants. Phase I capture cette adaptation naturelle, indépendante de toute suggestion externe.</w:t>
      </w:r>
    </w:p>
    <w:p w14:paraId="5674FF6A" w14:textId="4AFE321B" w:rsidR="00E25C77" w:rsidRPr="00D04C1F" w:rsidRDefault="00E25C77" w:rsidP="00D04C1F">
      <w:pPr>
        <w:spacing w:before="240" w:after="240" w:line="240" w:lineRule="auto"/>
        <w:jc w:val="left"/>
        <w:rPr>
          <w:rFonts w:ascii="Times New Roman" w:eastAsia="Times New Roman" w:hAnsi="Times New Roman" w:cs="Times New Roman"/>
          <w:sz w:val="24"/>
          <w:szCs w:val="24"/>
          <w:lang w:val="en-FR" w:eastAsia="en-GB"/>
        </w:rPr>
      </w:pPr>
      <w:r w:rsidRPr="00E25C77">
        <w:rPr>
          <w:rFonts w:ascii="Arial" w:eastAsia="Times New Roman" w:hAnsi="Arial" w:cs="Arial"/>
          <w:color w:val="000000"/>
          <w:lang w:val="en-FR" w:eastAsia="en-GB"/>
        </w:rPr>
        <w:t>Enfin, le time-tracking (20-30 minutes) établit un point de comparaison pour évaluer plus tard l'efficacité temporelle revendiquée par les outils IA—un élément clé du modèle TAM (Davis, 1989), où la "perceived usefulness" inclut souvent l'économie de temps.</w:t>
      </w:r>
    </w:p>
    <w:p w14:paraId="29D42084" w14:textId="31D72395" w:rsidR="00F903F8" w:rsidRDefault="00F903F8" w:rsidP="00F903F8">
      <w:pPr>
        <w:pStyle w:val="ListParagraph"/>
        <w:numPr>
          <w:ilvl w:val="0"/>
          <w:numId w:val="25"/>
        </w:numPr>
        <w:rPr>
          <w:lang w:val="en-US"/>
        </w:rPr>
      </w:pPr>
      <w:r>
        <w:rPr>
          <w:lang w:val="en-US"/>
        </w:rPr>
        <w:t>Phase 2</w:t>
      </w:r>
    </w:p>
    <w:p w14:paraId="4BC3709E" w14:textId="2F0DFDF7" w:rsidR="00D04C1F" w:rsidRDefault="00D04C1F" w:rsidP="00D04C1F">
      <w:proofErr w:type="gramStart"/>
      <w:r w:rsidRPr="00D04C1F">
        <w:t>suivant</w:t>
      </w:r>
      <w:proofErr w:type="gramEnd"/>
      <w:r w:rsidRPr="00D04C1F">
        <w:t xml:space="preserve"> Phase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 algorithmiques face à leurs attentes pédagogiques professionnelles et à leur cognition enseignante. Elle permet d'examiner la négociation entre ce que l'IA propose et ce que l'enseignant juge pédagogiquement approprié, authentique, et aligné avec sa vision de l'enseignement.</w:t>
      </w:r>
    </w:p>
    <w:p w14:paraId="6C35B3E0" w14:textId="3C2B28EC" w:rsidR="00EB0F1C" w:rsidRDefault="00EB0F1C" w:rsidP="00D04C1F">
      <w:r w:rsidRPr="00EB0F1C">
        <w:t xml:space="preserve">Le même thème grammatical que celui de Phase I a été présenté au participant une deuxième fois, accompagné du même contexte de niveau de classe. Un ordinateur portable a été fourni avec quatre outils d'IA générative déjà ouverts dans des onglets de navigateur séparés : </w:t>
      </w:r>
      <w:proofErr w:type="spellStart"/>
      <w:r w:rsidRPr="00EB0F1C">
        <w:t>ChatGPT</w:t>
      </w:r>
      <w:proofErr w:type="spellEnd"/>
      <w:r w:rsidRPr="00EB0F1C">
        <w:t>, Claude AI, Duck AI, et Google Gemini. L'examinatrice a clarifié que l'enseignant était libre de choisir un ou plusieurs outils selon ses préférences, et que le choix des outils était entièrement à sa discrétion. Cependant, l'utilisation d'au moins un outil IA était obligatoire—ce qui garantit que l'étude capture comment les enseignants naviguent activement avec la technologie plutôt que de l'ignorer.</w:t>
      </w:r>
    </w:p>
    <w:p w14:paraId="1AAC9006" w14:textId="77777777" w:rsidR="00EB0F1C" w:rsidRDefault="00EB0F1C" w:rsidP="00D04C1F"/>
    <w:p w14:paraId="46C848DD" w14:textId="77777777" w:rsidR="00F63E4D" w:rsidRDefault="00F63E4D" w:rsidP="00F63E4D">
      <w:r>
        <w:lastRenderedPageBreak/>
        <w:t>Pendant que le participant interagissait avec les outils IA, deux enregistrements vidéo simultanés ont documenté le processus :</w:t>
      </w:r>
    </w:p>
    <w:p w14:paraId="0CA02154" w14:textId="77777777" w:rsidR="00F63E4D" w:rsidRDefault="00F63E4D" w:rsidP="00F63E4D"/>
    <w:p w14:paraId="762B3B3A" w14:textId="4FDAB9A3" w:rsidR="00F63E4D" w:rsidRDefault="00F63E4D" w:rsidP="00F63E4D">
      <w:proofErr w:type="spellStart"/>
      <w:r>
        <w:t>EnrUne</w:t>
      </w:r>
      <w:proofErr w:type="spellEnd"/>
      <w:r>
        <w:t xml:space="preserve"> vidéo continue de l'écran de l'ordinateur capturant chaque interaction : les prompts formulés, les réponses générées par chaque outil, les moments où l'enseignant sélectionnait ou rejetait du contenu, les transitions entre outils, le temps passé sur chaque plateforme, et la manière dont l'enseignant adaptait ou combinait les suggestions.</w:t>
      </w:r>
    </w:p>
    <w:p w14:paraId="514793DA" w14:textId="738C043F" w:rsidR="00F63E4D" w:rsidRDefault="00F63E4D" w:rsidP="00F63E4D">
      <w:r>
        <w:t>Vidéo du participant : Une caméra vidéo enregistrait également le participant lui-même pendant Phase II, capturant le contexte comportemental et observationnel : moments de pause réflexive, expressions de frustration ou de satisfaction, hésitations prolongées, moments de clarté soudaine, et interactions non-verbales avec l'ordinateur.</w:t>
      </w:r>
    </w:p>
    <w:p w14:paraId="3D6E2EA0" w14:textId="61237297" w:rsidR="00EB0F1C" w:rsidRDefault="00110121" w:rsidP="00D04C1F">
      <w:r w:rsidRPr="00110121">
        <w:t>Une fois le plan de cours final rédigé sur papier, l'enseignant a annoncé « Terminé », et l'examinatrice a arrêté les enregistrements et noté le temps final. Le plan de cours final a été conservé sur papier par l'examinatrice. À la fin de la session, toutes les interactions avec l'IA (tous les prompts formulés et toutes les réponses générées) ont été automatiquement exportées en format PDF par chaque outil, créant une archive complète et précise de ce que l'IA avait produit.</w:t>
      </w:r>
    </w:p>
    <w:p w14:paraId="515D1CEE" w14:textId="77777777" w:rsidR="00EB0F1C" w:rsidRDefault="00EB0F1C" w:rsidP="00D04C1F"/>
    <w:p w14:paraId="26999498" w14:textId="799BDF0E" w:rsidR="00110121" w:rsidRDefault="00110121" w:rsidP="00D04C1F">
      <w:r w:rsidRPr="00110121">
        <w:t xml:space="preserve">Phase II répond directement à la question de recherche : comment les enseignants évaluent-ils et intègrent-ils l'IA générative dans la planification de </w:t>
      </w:r>
      <w:proofErr w:type="gramStart"/>
      <w:r w:rsidRPr="00110121">
        <w:t>cours?</w:t>
      </w:r>
      <w:proofErr w:type="gramEnd"/>
      <w:r w:rsidRPr="00110121">
        <w:t xml:space="preserve"> Cette phase révèle plusieurs dimensions critiques :</w:t>
      </w:r>
    </w:p>
    <w:p w14:paraId="4B26A1A5" w14:textId="521A3C7B" w:rsidR="002C2B54" w:rsidRDefault="002C2B54" w:rsidP="00D04C1F">
      <w:r w:rsidRPr="002C2B54">
        <w:t>L'enregistrement d'écran documente précisément le processus décisionnel en temps réel, tandis que la comparaison entre les plans de Phase I et Phase II révèle l'alignement (ou désalignement) perçu entre suggestions algorithmiques et attentes pédagogiques enseignantes.</w:t>
      </w:r>
    </w:p>
    <w:p w14:paraId="15C25CD8" w14:textId="531BD8C4" w:rsidR="00B13FCC" w:rsidRPr="00F903F8" w:rsidRDefault="00B13FCC" w:rsidP="00F903F8">
      <w:pPr>
        <w:pStyle w:val="ListParagraph"/>
        <w:numPr>
          <w:ilvl w:val="0"/>
          <w:numId w:val="25"/>
        </w:numPr>
        <w:rPr>
          <w:lang w:val="en-US"/>
        </w:rPr>
      </w:pPr>
      <w:proofErr w:type="spellStart"/>
      <w:r>
        <w:rPr>
          <w:lang w:val="en-US"/>
        </w:rPr>
        <w:t>Formulaire</w:t>
      </w:r>
      <w:proofErr w:type="spellEnd"/>
      <w:r>
        <w:rPr>
          <w:lang w:val="en-US"/>
        </w:rPr>
        <w:t xml:space="preserve"> de post ex</w:t>
      </w:r>
    </w:p>
    <w:p w14:paraId="3C66DC82" w14:textId="4959CF81" w:rsidR="00D121D5" w:rsidRPr="003274C2" w:rsidRDefault="003274C2" w:rsidP="001B411D">
      <w:r w:rsidRPr="003274C2">
        <w:t>Cet instrument complète les données observationnelles (enregistrements d'écran et vidéo des Phases I et II) en capturant la perception et l'évaluation enseignante des suggestions IA. Alors que les enregistrements montrent ce que l'enseignant a fait avec l'IA, le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p>
    <w:p w14:paraId="440835EF" w14:textId="77777777" w:rsidR="00D121D5" w:rsidRPr="003274C2" w:rsidRDefault="00D121D5" w:rsidP="001B411D"/>
    <w:p w14:paraId="2EB32D69" w14:textId="77777777" w:rsidR="001B411D" w:rsidRPr="003274C2" w:rsidRDefault="001B411D" w:rsidP="001B411D"/>
    <w:p w14:paraId="09A9464F" w14:textId="77777777" w:rsidR="001B411D" w:rsidRPr="003274C2" w:rsidRDefault="001B411D" w:rsidP="001B411D">
      <w:pPr>
        <w:pStyle w:val="Heading4"/>
        <w:rPr>
          <w:lang w:val="fr-FR"/>
        </w:rPr>
      </w:pPr>
      <w:r w:rsidRPr="003274C2">
        <w:rPr>
          <w:lang w:val="fr-FR"/>
        </w:rPr>
        <w:br w:type="page"/>
      </w:r>
    </w:p>
    <w:p w14:paraId="35C4E50B" w14:textId="0A8B7C9C" w:rsidR="00D121D5" w:rsidRPr="003274C2" w:rsidRDefault="00D121D5" w:rsidP="005F534B">
      <w:pPr>
        <w:pStyle w:val="Heading1"/>
        <w:rPr>
          <w:rFonts w:eastAsia="Times New Roman"/>
          <w:lang w:val="fr-FR" w:eastAsia="en-IN"/>
        </w:rPr>
      </w:pPr>
      <w:bookmarkStart w:id="61" w:name="_Toc230973446"/>
      <w:proofErr w:type="spellStart"/>
      <w:r w:rsidRPr="003274C2">
        <w:rPr>
          <w:rFonts w:eastAsia="Times New Roman"/>
          <w:lang w:val="fr-FR" w:eastAsia="en-IN"/>
        </w:rPr>
        <w:lastRenderedPageBreak/>
        <w:t>Inferences</w:t>
      </w:r>
      <w:bookmarkEnd w:id="61"/>
      <w:proofErr w:type="spellEnd"/>
    </w:p>
    <w:p w14:paraId="39240503" w14:textId="77777777" w:rsidR="001B411D" w:rsidRPr="003274C2" w:rsidRDefault="001B411D" w:rsidP="001B411D"/>
    <w:p w14:paraId="35E1177C" w14:textId="77777777" w:rsidR="001B411D" w:rsidRDefault="001B411D" w:rsidP="001B411D">
      <w:r w:rsidRPr="003274C2">
        <w:t xml:space="preserve">Mox dicta </w:t>
      </w:r>
      <w:proofErr w:type="spellStart"/>
      <w:r w:rsidRPr="003274C2">
        <w:t>finierat</w:t>
      </w:r>
      <w:proofErr w:type="spellEnd"/>
      <w:r w:rsidRPr="003274C2">
        <w:t xml:space="preserve">, </w:t>
      </w:r>
      <w:proofErr w:type="spellStart"/>
      <w:r w:rsidRPr="003274C2">
        <w:t>multitudo</w:t>
      </w:r>
      <w:proofErr w:type="spellEnd"/>
      <w:r w:rsidRPr="003274C2">
        <w:t xml:space="preserve"> </w:t>
      </w:r>
      <w:proofErr w:type="spellStart"/>
      <w:r w:rsidRPr="003274C2">
        <w:t>omnis</w:t>
      </w:r>
      <w:proofErr w:type="spellEnd"/>
      <w:r w:rsidRPr="003274C2">
        <w:t xml:space="preserve"> ad, </w:t>
      </w:r>
      <w:proofErr w:type="spellStart"/>
      <w:r w:rsidRPr="003274C2">
        <w:t>quae</w:t>
      </w:r>
      <w:proofErr w:type="spellEnd"/>
      <w:r w:rsidRPr="003274C2">
        <w:t xml:space="preserve"> imperator </w:t>
      </w:r>
      <w:proofErr w:type="spellStart"/>
      <w:r w:rsidRPr="003274C2">
        <w:t>voluit</w:t>
      </w:r>
      <w:proofErr w:type="spellEnd"/>
      <w:r w:rsidRPr="003274C2">
        <w:t xml:space="preserve">, </w:t>
      </w:r>
      <w:proofErr w:type="spellStart"/>
      <w:r w:rsidRPr="003274C2">
        <w:t>promptior</w:t>
      </w:r>
      <w:proofErr w:type="spellEnd"/>
      <w:r w:rsidRPr="003274C2">
        <w:t xml:space="preserve"> </w:t>
      </w:r>
      <w:proofErr w:type="spellStart"/>
      <w:r w:rsidRPr="003274C2">
        <w:t>laudato</w:t>
      </w:r>
      <w:proofErr w:type="spellEnd"/>
      <w:r w:rsidRPr="003274C2">
        <w:t xml:space="preserve"> </w:t>
      </w:r>
      <w:proofErr w:type="spellStart"/>
      <w:r w:rsidRPr="003274C2">
        <w:t>consilio</w:t>
      </w:r>
      <w:proofErr w:type="spellEnd"/>
      <w:r w:rsidRPr="003274C2">
        <w:t xml:space="preserve"> </w:t>
      </w:r>
      <w:proofErr w:type="spellStart"/>
      <w:r w:rsidRPr="003274C2">
        <w:t>consensit</w:t>
      </w:r>
      <w:proofErr w:type="spellEnd"/>
      <w:r w:rsidRPr="003274C2">
        <w:t xml:space="preserve"> in </w:t>
      </w:r>
      <w:proofErr w:type="spellStart"/>
      <w:r w:rsidRPr="003274C2">
        <w:t>pacem</w:t>
      </w:r>
      <w:proofErr w:type="spellEnd"/>
      <w:r w:rsidRPr="003274C2">
        <w:t xml:space="preserve"> </w:t>
      </w:r>
      <w:proofErr w:type="spellStart"/>
      <w:r w:rsidRPr="003274C2">
        <w:t>ea</w:t>
      </w:r>
      <w:proofErr w:type="spellEnd"/>
      <w:r w:rsidRPr="003274C2">
        <w:t xml:space="preserve"> </w:t>
      </w:r>
      <w:proofErr w:type="spellStart"/>
      <w:r w:rsidRPr="003274C2">
        <w:t>ratione</w:t>
      </w:r>
      <w:proofErr w:type="spellEnd"/>
      <w:r w:rsidRPr="003274C2">
        <w:t xml:space="preserve"> maxime </w:t>
      </w:r>
      <w:proofErr w:type="spellStart"/>
      <w:r w:rsidRPr="003274C2">
        <w:t>percita</w:t>
      </w:r>
      <w:proofErr w:type="spellEnd"/>
      <w:r w:rsidRPr="003274C2">
        <w:t xml:space="preserve">, quod </w:t>
      </w:r>
      <w:proofErr w:type="spellStart"/>
      <w:r w:rsidRPr="003274C2">
        <w:t>norat</w:t>
      </w:r>
      <w:proofErr w:type="spellEnd"/>
      <w:r w:rsidRPr="003274C2">
        <w:t xml:space="preserve"> </w:t>
      </w:r>
      <w:proofErr w:type="spellStart"/>
      <w:r w:rsidRPr="003274C2">
        <w:t>expeditionibus</w:t>
      </w:r>
      <w:proofErr w:type="spellEnd"/>
      <w:r w:rsidRPr="003274C2">
        <w:t xml:space="preserve"> </w:t>
      </w:r>
      <w:proofErr w:type="spellStart"/>
      <w:r w:rsidRPr="003274C2">
        <w:t>crebris</w:t>
      </w:r>
      <w:proofErr w:type="spellEnd"/>
      <w:r w:rsidRPr="003274C2">
        <w:t xml:space="preserve"> </w:t>
      </w:r>
      <w:proofErr w:type="spellStart"/>
      <w:r w:rsidRPr="003274C2">
        <w:t>fortunam</w:t>
      </w:r>
      <w:proofErr w:type="spellEnd"/>
      <w:r w:rsidRPr="003274C2">
        <w:t xml:space="preserve"> </w:t>
      </w:r>
      <w:proofErr w:type="spellStart"/>
      <w:r w:rsidRPr="003274C2">
        <w:t>eius</w:t>
      </w:r>
      <w:proofErr w:type="spellEnd"/>
      <w:r w:rsidRPr="003274C2">
        <w:t xml:space="preserve"> in malis </w:t>
      </w:r>
      <w:proofErr w:type="spellStart"/>
      <w:r w:rsidRPr="003274C2">
        <w:t>tantum</w:t>
      </w:r>
      <w:proofErr w:type="spellEnd"/>
      <w:r w:rsidRPr="003274C2">
        <w:t xml:space="preserve"> </w:t>
      </w:r>
      <w:proofErr w:type="spellStart"/>
      <w:r w:rsidRPr="003274C2">
        <w:t>civilibus</w:t>
      </w:r>
      <w:proofErr w:type="spellEnd"/>
      <w:r w:rsidRPr="003274C2">
        <w:t xml:space="preserve"> vigilasse, cum </w:t>
      </w:r>
      <w:proofErr w:type="spellStart"/>
      <w:r w:rsidRPr="003274C2">
        <w:t>autem</w:t>
      </w:r>
      <w:proofErr w:type="spellEnd"/>
      <w:r w:rsidRPr="003274C2">
        <w:t xml:space="preserve"> </w:t>
      </w:r>
      <w:proofErr w:type="spellStart"/>
      <w:r w:rsidRPr="003274C2">
        <w:t>bella</w:t>
      </w:r>
      <w:proofErr w:type="spellEnd"/>
      <w:r w:rsidRPr="003274C2">
        <w:t xml:space="preserve"> </w:t>
      </w:r>
      <w:proofErr w:type="spellStart"/>
      <w:r w:rsidRPr="003274C2">
        <w:t>moverentur</w:t>
      </w:r>
      <w:proofErr w:type="spellEnd"/>
      <w:r w:rsidRPr="003274C2">
        <w:t xml:space="preserve"> </w:t>
      </w:r>
      <w:proofErr w:type="spellStart"/>
      <w:r w:rsidRPr="003274C2">
        <w:t>externa</w:t>
      </w:r>
      <w:proofErr w:type="spellEnd"/>
      <w:r w:rsidRPr="003274C2">
        <w:t xml:space="preserve">, </w:t>
      </w:r>
      <w:proofErr w:type="spellStart"/>
      <w:r w:rsidRPr="003274C2">
        <w:t>accidisse</w:t>
      </w:r>
      <w:proofErr w:type="spellEnd"/>
      <w:r w:rsidRPr="003274C2">
        <w:t xml:space="preserve"> </w:t>
      </w:r>
      <w:proofErr w:type="spellStart"/>
      <w:r w:rsidRPr="003274C2">
        <w:t>plerumque</w:t>
      </w:r>
      <w:proofErr w:type="spellEnd"/>
      <w:r w:rsidRPr="003274C2">
        <w:t xml:space="preserve"> </w:t>
      </w:r>
      <w:proofErr w:type="spellStart"/>
      <w:r w:rsidRPr="003274C2">
        <w:t>luctuosa</w:t>
      </w:r>
      <w:proofErr w:type="spellEnd"/>
      <w:r w:rsidRPr="003274C2">
        <w:t xml:space="preserve">, </w:t>
      </w:r>
      <w:proofErr w:type="spellStart"/>
      <w:r w:rsidRPr="003274C2">
        <w:t>icto</w:t>
      </w:r>
      <w:proofErr w:type="spellEnd"/>
      <w:r w:rsidRPr="003274C2">
        <w:t xml:space="preserve"> post </w:t>
      </w:r>
      <w:proofErr w:type="spellStart"/>
      <w:r w:rsidRPr="003274C2">
        <w:t>haec</w:t>
      </w:r>
      <w:proofErr w:type="spellEnd"/>
      <w:r w:rsidRPr="003274C2">
        <w:t xml:space="preserve"> </w:t>
      </w:r>
      <w:proofErr w:type="spellStart"/>
      <w:r w:rsidRPr="003274C2">
        <w:t>foedere</w:t>
      </w:r>
      <w:proofErr w:type="spellEnd"/>
      <w:r w:rsidRPr="003274C2">
        <w:t xml:space="preserve"> </w:t>
      </w:r>
      <w:proofErr w:type="spellStart"/>
      <w:r w:rsidRPr="003274C2">
        <w:t>gentium</w:t>
      </w:r>
      <w:proofErr w:type="spellEnd"/>
      <w:r w:rsidRPr="003274C2">
        <w:t xml:space="preserve"> </w:t>
      </w:r>
      <w:proofErr w:type="spellStart"/>
      <w:r w:rsidRPr="003274C2">
        <w:t>ritu</w:t>
      </w:r>
      <w:proofErr w:type="spellEnd"/>
      <w:r w:rsidRPr="003274C2">
        <w:t xml:space="preserve"> </w:t>
      </w:r>
      <w:proofErr w:type="spellStart"/>
      <w:r w:rsidRPr="003274C2">
        <w:t>perfectaque</w:t>
      </w:r>
      <w:proofErr w:type="spellEnd"/>
      <w:r w:rsidRPr="003274C2">
        <w:t xml:space="preserve"> </w:t>
      </w:r>
      <w:proofErr w:type="spellStart"/>
      <w:r w:rsidRPr="003274C2">
        <w:t>sollemnitate</w:t>
      </w:r>
      <w:proofErr w:type="spellEnd"/>
      <w:r w:rsidRPr="003274C2">
        <w:t xml:space="preserve"> imperator </w:t>
      </w:r>
      <w:proofErr w:type="spellStart"/>
      <w:r w:rsidRPr="003274C2">
        <w:t>Mediolanum</w:t>
      </w:r>
      <w:proofErr w:type="spellEnd"/>
      <w:r w:rsidRPr="003274C2">
        <w:t xml:space="preserve"> ad hiberna </w:t>
      </w:r>
      <w:proofErr w:type="spellStart"/>
      <w:r w:rsidRPr="003274C2">
        <w:t>discessit</w:t>
      </w:r>
      <w:proofErr w:type="spellEnd"/>
      <w:r w:rsidRPr="003274C2">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62" w:name="_Toc230973447"/>
      <w:r w:rsidRPr="005F534B">
        <w:rPr>
          <w:rFonts w:eastAsia="Times New Roman"/>
          <w:lang w:val="fr-FR" w:eastAsia="en-IN"/>
        </w:rPr>
        <w:lastRenderedPageBreak/>
        <w:t>Conclusion</w:t>
      </w:r>
      <w:bookmarkEnd w:id="62"/>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63" w:name="_Toc105689047"/>
      <w:bookmarkStart w:id="64" w:name="_Toc107222887"/>
      <w:bookmarkStart w:id="65" w:name="_Toc158131119"/>
      <w:bookmarkStart w:id="66" w:name="_Toc158131244"/>
      <w:bookmarkStart w:id="67" w:name="_Toc169622416"/>
      <w:bookmarkStart w:id="68" w:name="_Toc169622624"/>
      <w:bookmarkStart w:id="69" w:name="_Toc218677530"/>
      <w:bookmarkStart w:id="70" w:name="_Toc230973448"/>
      <w:r w:rsidRPr="005F534B">
        <w:rPr>
          <w:lang w:val="fr-FR"/>
        </w:rPr>
        <w:lastRenderedPageBreak/>
        <w:t>Bibliographie</w:t>
      </w:r>
      <w:bookmarkEnd w:id="63"/>
      <w:bookmarkEnd w:id="64"/>
      <w:bookmarkEnd w:id="65"/>
      <w:bookmarkEnd w:id="66"/>
      <w:bookmarkEnd w:id="67"/>
      <w:bookmarkEnd w:id="68"/>
      <w:bookmarkEnd w:id="69"/>
      <w:bookmarkEnd w:id="70"/>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71" w:name="_Toc169622417"/>
      <w:bookmarkStart w:id="72" w:name="_Toc169622625"/>
      <w:bookmarkStart w:id="73" w:name="_Toc218677531"/>
      <w:bookmarkStart w:id="74" w:name="_Toc230973449"/>
      <w:bookmarkStart w:id="75" w:name="_Toc105689048"/>
      <w:bookmarkStart w:id="76" w:name="_Toc107222888"/>
      <w:bookmarkStart w:id="77" w:name="_Toc158131120"/>
      <w:bookmarkStart w:id="78" w:name="_Toc158131245"/>
      <w:r w:rsidRPr="00A5062C">
        <w:lastRenderedPageBreak/>
        <w:t>Index</w:t>
      </w:r>
      <w:bookmarkEnd w:id="71"/>
      <w:bookmarkEnd w:id="72"/>
      <w:bookmarkEnd w:id="73"/>
      <w:bookmarkEnd w:id="74"/>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proofErr w:type="spellStart"/>
      <w:r w:rsidRPr="00DA04A1">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9" w:name="_Toc169622418"/>
      <w:bookmarkStart w:id="80" w:name="_Toc169622626"/>
      <w:bookmarkStart w:id="81" w:name="_Toc218677532"/>
      <w:bookmarkStart w:id="82" w:name="_Toc230973450"/>
      <w:r w:rsidRPr="005F534B">
        <w:rPr>
          <w:lang w:val="fr-FR"/>
        </w:rPr>
        <w:lastRenderedPageBreak/>
        <w:t>Table des illustrations</w:t>
      </w:r>
      <w:bookmarkEnd w:id="75"/>
      <w:bookmarkEnd w:id="76"/>
      <w:bookmarkEnd w:id="77"/>
      <w:bookmarkEnd w:id="78"/>
      <w:bookmarkEnd w:id="79"/>
      <w:bookmarkEnd w:id="80"/>
      <w:bookmarkEnd w:id="81"/>
      <w:bookmarkEnd w:id="82"/>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83" w:name="_Toc230973451"/>
      <w:r w:rsidRPr="00B7234F">
        <w:rPr>
          <w:lang w:val="fr-FR"/>
        </w:rPr>
        <w:lastRenderedPageBreak/>
        <w:t>Annexes</w:t>
      </w:r>
      <w:bookmarkEnd w:id="83"/>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0F55F" w14:textId="77777777" w:rsidR="00EC4315" w:rsidRDefault="00EC4315" w:rsidP="00734501">
      <w:pPr>
        <w:spacing w:after="0" w:line="240" w:lineRule="auto"/>
      </w:pPr>
      <w:r>
        <w:separator/>
      </w:r>
    </w:p>
  </w:endnote>
  <w:endnote w:type="continuationSeparator" w:id="0">
    <w:p w14:paraId="44C43B79" w14:textId="77777777" w:rsidR="00EC4315" w:rsidRDefault="00EC4315"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utra Text">
    <w:altName w:val="Calibri"/>
    <w:panose1 w:val="020B0604020202020204"/>
    <w:charset w:val="00"/>
    <w:family w:val="modern"/>
    <w:pitch w:val="variable"/>
    <w:sig w:usb0="800000AF" w:usb1="4000204A" w:usb2="00000000" w:usb3="00000000" w:csb0="00000009"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F9018" w14:textId="77777777" w:rsidR="00EC4315" w:rsidRDefault="00EC4315" w:rsidP="00734501">
      <w:pPr>
        <w:spacing w:after="0" w:line="240" w:lineRule="auto"/>
      </w:pPr>
      <w:r>
        <w:separator/>
      </w:r>
    </w:p>
  </w:footnote>
  <w:footnote w:type="continuationSeparator" w:id="0">
    <w:p w14:paraId="478DC1F4" w14:textId="77777777" w:rsidR="00EC4315" w:rsidRDefault="00EC4315"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DD5ACF"/>
    <w:multiLevelType w:val="multilevel"/>
    <w:tmpl w:val="08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077A"/>
    <w:multiLevelType w:val="hybridMultilevel"/>
    <w:tmpl w:val="BFB40CC0"/>
    <w:lvl w:ilvl="0" w:tplc="BB2ADCFE">
      <w:start w:val="2"/>
      <w:numFmt w:val="bullet"/>
      <w:lvlText w:val="-"/>
      <w:lvlJc w:val="left"/>
      <w:pPr>
        <w:ind w:left="720" w:hanging="360"/>
      </w:pPr>
      <w:rPr>
        <w:rFonts w:ascii="Neutra Text" w:eastAsiaTheme="majorEastAsia" w:hAnsi="Neutra Text" w:cstheme="maj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A2D0C7F"/>
    <w:multiLevelType w:val="multilevel"/>
    <w:tmpl w:val="112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E63C6"/>
    <w:multiLevelType w:val="multilevel"/>
    <w:tmpl w:val="F7C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82F55EA"/>
    <w:multiLevelType w:val="hybridMultilevel"/>
    <w:tmpl w:val="6730FDEE"/>
    <w:lvl w:ilvl="0" w:tplc="E06E839C">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E40229"/>
    <w:multiLevelType w:val="hybridMultilevel"/>
    <w:tmpl w:val="4F34DF88"/>
    <w:lvl w:ilvl="0" w:tplc="964ED3F0">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AD11E2"/>
    <w:multiLevelType w:val="multilevel"/>
    <w:tmpl w:val="889C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EF4AF4"/>
    <w:multiLevelType w:val="multilevel"/>
    <w:tmpl w:val="4D1C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322A2"/>
    <w:multiLevelType w:val="multilevel"/>
    <w:tmpl w:val="B81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10"/>
  </w:num>
  <w:num w:numId="4" w16cid:durableId="1726951559">
    <w:abstractNumId w:val="0"/>
  </w:num>
  <w:num w:numId="5" w16cid:durableId="222564225">
    <w:abstractNumId w:val="10"/>
  </w:num>
  <w:num w:numId="6" w16cid:durableId="1607932179">
    <w:abstractNumId w:val="10"/>
  </w:num>
  <w:num w:numId="7" w16cid:durableId="1342976328">
    <w:abstractNumId w:val="0"/>
  </w:num>
  <w:num w:numId="8" w16cid:durableId="1238787394">
    <w:abstractNumId w:val="10"/>
  </w:num>
  <w:num w:numId="9" w16cid:durableId="42946975">
    <w:abstractNumId w:val="0"/>
  </w:num>
  <w:num w:numId="10" w16cid:durableId="568149782">
    <w:abstractNumId w:val="0"/>
  </w:num>
  <w:num w:numId="11" w16cid:durableId="1925989633">
    <w:abstractNumId w:val="3"/>
  </w:num>
  <w:num w:numId="12" w16cid:durableId="1641106551">
    <w:abstractNumId w:val="6"/>
  </w:num>
  <w:num w:numId="13" w16cid:durableId="667098620">
    <w:abstractNumId w:val="12"/>
    <w:lvlOverride w:ilvl="0">
      <w:lvl w:ilvl="0">
        <w:numFmt w:val="decimal"/>
        <w:lvlText w:val="%1."/>
        <w:lvlJc w:val="left"/>
      </w:lvl>
    </w:lvlOverride>
  </w:num>
  <w:num w:numId="14" w16cid:durableId="823549384">
    <w:abstractNumId w:val="9"/>
  </w:num>
  <w:num w:numId="15" w16cid:durableId="1621296706">
    <w:abstractNumId w:val="18"/>
  </w:num>
  <w:num w:numId="16" w16cid:durableId="69473505">
    <w:abstractNumId w:val="8"/>
  </w:num>
  <w:num w:numId="17" w16cid:durableId="1101879510">
    <w:abstractNumId w:val="16"/>
  </w:num>
  <w:num w:numId="18" w16cid:durableId="1151560571">
    <w:abstractNumId w:val="17"/>
  </w:num>
  <w:num w:numId="19" w16cid:durableId="2052270099">
    <w:abstractNumId w:val="5"/>
  </w:num>
  <w:num w:numId="20" w16cid:durableId="201983089">
    <w:abstractNumId w:val="4"/>
  </w:num>
  <w:num w:numId="21" w16cid:durableId="843974525">
    <w:abstractNumId w:val="1"/>
  </w:num>
  <w:num w:numId="22" w16cid:durableId="490949750">
    <w:abstractNumId w:val="15"/>
  </w:num>
  <w:num w:numId="23" w16cid:durableId="530922141">
    <w:abstractNumId w:val="11"/>
  </w:num>
  <w:num w:numId="24" w16cid:durableId="1143154642">
    <w:abstractNumId w:val="7"/>
  </w:num>
  <w:num w:numId="25" w16cid:durableId="50547338">
    <w:abstractNumId w:val="2"/>
  </w:num>
  <w:num w:numId="26" w16cid:durableId="1471243823">
    <w:abstractNumId w:val="13"/>
  </w:num>
  <w:num w:numId="27" w16cid:durableId="1899556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41B40"/>
    <w:rsid w:val="000508B3"/>
    <w:rsid w:val="00052FB4"/>
    <w:rsid w:val="00065500"/>
    <w:rsid w:val="00065821"/>
    <w:rsid w:val="000666EB"/>
    <w:rsid w:val="00067C8F"/>
    <w:rsid w:val="00071796"/>
    <w:rsid w:val="000761E5"/>
    <w:rsid w:val="000876BB"/>
    <w:rsid w:val="000A1F9C"/>
    <w:rsid w:val="000A31BA"/>
    <w:rsid w:val="000A4765"/>
    <w:rsid w:val="000A63EA"/>
    <w:rsid w:val="000A737D"/>
    <w:rsid w:val="000B12B1"/>
    <w:rsid w:val="000B5556"/>
    <w:rsid w:val="000C3965"/>
    <w:rsid w:val="000C4D6F"/>
    <w:rsid w:val="000D6204"/>
    <w:rsid w:val="000F264E"/>
    <w:rsid w:val="00110121"/>
    <w:rsid w:val="0011349B"/>
    <w:rsid w:val="00113DF2"/>
    <w:rsid w:val="001141FD"/>
    <w:rsid w:val="00120210"/>
    <w:rsid w:val="001415E7"/>
    <w:rsid w:val="00141DC5"/>
    <w:rsid w:val="00150060"/>
    <w:rsid w:val="00160085"/>
    <w:rsid w:val="00167305"/>
    <w:rsid w:val="00177669"/>
    <w:rsid w:val="00191320"/>
    <w:rsid w:val="0019289D"/>
    <w:rsid w:val="00193073"/>
    <w:rsid w:val="001935E6"/>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91E32"/>
    <w:rsid w:val="002A43BA"/>
    <w:rsid w:val="002B42F0"/>
    <w:rsid w:val="002C127F"/>
    <w:rsid w:val="002C2B54"/>
    <w:rsid w:val="002D5223"/>
    <w:rsid w:val="002D7957"/>
    <w:rsid w:val="002E0118"/>
    <w:rsid w:val="002E6B8A"/>
    <w:rsid w:val="002F3177"/>
    <w:rsid w:val="00316804"/>
    <w:rsid w:val="003235B8"/>
    <w:rsid w:val="0032547F"/>
    <w:rsid w:val="003274C2"/>
    <w:rsid w:val="00336DDB"/>
    <w:rsid w:val="00347079"/>
    <w:rsid w:val="003479E1"/>
    <w:rsid w:val="00353452"/>
    <w:rsid w:val="003624C0"/>
    <w:rsid w:val="00363D27"/>
    <w:rsid w:val="0036776C"/>
    <w:rsid w:val="00382081"/>
    <w:rsid w:val="003876C3"/>
    <w:rsid w:val="00390C6B"/>
    <w:rsid w:val="00391636"/>
    <w:rsid w:val="00391B98"/>
    <w:rsid w:val="00396E58"/>
    <w:rsid w:val="003D0370"/>
    <w:rsid w:val="003D1278"/>
    <w:rsid w:val="003D6C0E"/>
    <w:rsid w:val="003E65BC"/>
    <w:rsid w:val="003F79CF"/>
    <w:rsid w:val="004126DF"/>
    <w:rsid w:val="004130F7"/>
    <w:rsid w:val="004132E5"/>
    <w:rsid w:val="00413FA6"/>
    <w:rsid w:val="004211B2"/>
    <w:rsid w:val="00424588"/>
    <w:rsid w:val="00425DB0"/>
    <w:rsid w:val="0043071D"/>
    <w:rsid w:val="00432A6F"/>
    <w:rsid w:val="00437BC9"/>
    <w:rsid w:val="004571B6"/>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72160"/>
    <w:rsid w:val="0058414C"/>
    <w:rsid w:val="00585633"/>
    <w:rsid w:val="00595936"/>
    <w:rsid w:val="005A5F6F"/>
    <w:rsid w:val="005D3BF7"/>
    <w:rsid w:val="005D6E57"/>
    <w:rsid w:val="005E12E0"/>
    <w:rsid w:val="005F4EB7"/>
    <w:rsid w:val="005F534B"/>
    <w:rsid w:val="00610B61"/>
    <w:rsid w:val="00652063"/>
    <w:rsid w:val="006704A7"/>
    <w:rsid w:val="00676B4A"/>
    <w:rsid w:val="006814C5"/>
    <w:rsid w:val="0068362A"/>
    <w:rsid w:val="00685639"/>
    <w:rsid w:val="00685B66"/>
    <w:rsid w:val="006B3D3D"/>
    <w:rsid w:val="006C1377"/>
    <w:rsid w:val="006C482C"/>
    <w:rsid w:val="006D0353"/>
    <w:rsid w:val="006E05FB"/>
    <w:rsid w:val="006E139A"/>
    <w:rsid w:val="006E169C"/>
    <w:rsid w:val="006E318E"/>
    <w:rsid w:val="006E396B"/>
    <w:rsid w:val="006F3C5F"/>
    <w:rsid w:val="00701274"/>
    <w:rsid w:val="00715F9C"/>
    <w:rsid w:val="00732EDC"/>
    <w:rsid w:val="00734501"/>
    <w:rsid w:val="00742E8D"/>
    <w:rsid w:val="007458B0"/>
    <w:rsid w:val="00751171"/>
    <w:rsid w:val="00764435"/>
    <w:rsid w:val="007854A9"/>
    <w:rsid w:val="007A1D24"/>
    <w:rsid w:val="007B21E7"/>
    <w:rsid w:val="007C2620"/>
    <w:rsid w:val="007C4658"/>
    <w:rsid w:val="007D2BB2"/>
    <w:rsid w:val="007E5033"/>
    <w:rsid w:val="007E538B"/>
    <w:rsid w:val="007F3B35"/>
    <w:rsid w:val="00800497"/>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97DE8"/>
    <w:rsid w:val="009C44F1"/>
    <w:rsid w:val="009D52D5"/>
    <w:rsid w:val="009D5EF8"/>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876E6"/>
    <w:rsid w:val="00A904DF"/>
    <w:rsid w:val="00A92372"/>
    <w:rsid w:val="00AA1CF5"/>
    <w:rsid w:val="00AA6353"/>
    <w:rsid w:val="00AA702C"/>
    <w:rsid w:val="00AD2BBB"/>
    <w:rsid w:val="00AE72D3"/>
    <w:rsid w:val="00AF11BF"/>
    <w:rsid w:val="00AF534D"/>
    <w:rsid w:val="00AF6302"/>
    <w:rsid w:val="00B01EF8"/>
    <w:rsid w:val="00B13FCC"/>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034"/>
    <w:rsid w:val="00CB4D88"/>
    <w:rsid w:val="00CD7C00"/>
    <w:rsid w:val="00CE54E1"/>
    <w:rsid w:val="00CE760F"/>
    <w:rsid w:val="00D038B4"/>
    <w:rsid w:val="00D04339"/>
    <w:rsid w:val="00D04C1F"/>
    <w:rsid w:val="00D11C7E"/>
    <w:rsid w:val="00D121D5"/>
    <w:rsid w:val="00D21E3F"/>
    <w:rsid w:val="00D342F2"/>
    <w:rsid w:val="00D34A33"/>
    <w:rsid w:val="00D428F1"/>
    <w:rsid w:val="00D439C5"/>
    <w:rsid w:val="00D533F3"/>
    <w:rsid w:val="00D545CE"/>
    <w:rsid w:val="00D56A5C"/>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25C77"/>
    <w:rsid w:val="00E306BD"/>
    <w:rsid w:val="00E5411B"/>
    <w:rsid w:val="00E54E65"/>
    <w:rsid w:val="00E55F1F"/>
    <w:rsid w:val="00E56729"/>
    <w:rsid w:val="00E66255"/>
    <w:rsid w:val="00E66F83"/>
    <w:rsid w:val="00E76C20"/>
    <w:rsid w:val="00EA1778"/>
    <w:rsid w:val="00EB0F1C"/>
    <w:rsid w:val="00EC4315"/>
    <w:rsid w:val="00EC5988"/>
    <w:rsid w:val="00ED4077"/>
    <w:rsid w:val="00EE35AA"/>
    <w:rsid w:val="00EE5DA8"/>
    <w:rsid w:val="00EE7C89"/>
    <w:rsid w:val="00F01506"/>
    <w:rsid w:val="00F05219"/>
    <w:rsid w:val="00F11ADA"/>
    <w:rsid w:val="00F36A0B"/>
    <w:rsid w:val="00F532DA"/>
    <w:rsid w:val="00F63E4D"/>
    <w:rsid w:val="00F74E3E"/>
    <w:rsid w:val="00F8078E"/>
    <w:rsid w:val="00F84C1F"/>
    <w:rsid w:val="00F903F8"/>
    <w:rsid w:val="00F9159E"/>
    <w:rsid w:val="00F922AD"/>
    <w:rsid w:val="00F92FEC"/>
    <w:rsid w:val="00FA236A"/>
    <w:rsid w:val="00FB24B6"/>
    <w:rsid w:val="00FC030F"/>
    <w:rsid w:val="00FE3A39"/>
    <w:rsid w:val="00FE6A9C"/>
    <w:rsid w:val="00FF5FF1"/>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7B21E7"/>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150060"/>
    <w:pPr>
      <w:keepNext/>
      <w:keepLines/>
      <w:spacing w:before="40" w:after="0"/>
      <w:outlineLvl w:val="2"/>
    </w:pPr>
    <w:rPr>
      <w:rFonts w:eastAsiaTheme="majorEastAsia" w:cstheme="majorBidi"/>
      <w:b/>
      <w:bCs/>
      <w:smallCaps/>
      <w:sz w:val="32"/>
      <w:szCs w:val="24"/>
    </w:rPr>
  </w:style>
  <w:style w:type="paragraph" w:styleId="Heading4">
    <w:name w:val="heading 4"/>
    <w:basedOn w:val="Normal"/>
    <w:next w:val="Normal"/>
    <w:link w:val="Heading4Char"/>
    <w:autoRedefine/>
    <w:uiPriority w:val="9"/>
    <w:unhideWhenUsed/>
    <w:qFormat/>
    <w:rsid w:val="007B21E7"/>
    <w:pPr>
      <w:keepNext/>
      <w:keepLines/>
      <w:spacing w:before="40" w:after="0"/>
      <w:outlineLvl w:val="3"/>
    </w:pPr>
    <w:rPr>
      <w:rFonts w:eastAsiaTheme="majorEastAsia" w:cstheme="majorBidi"/>
      <w:b/>
      <w:i/>
      <w:iCs/>
      <w:sz w:val="28"/>
      <w:lang w:val="en-US"/>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7B21E7"/>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150060"/>
    <w:rPr>
      <w:rFonts w:ascii="Neutra Text" w:eastAsiaTheme="majorEastAsia" w:hAnsi="Neutra Text" w:cstheme="majorBidi"/>
      <w:b/>
      <w:bCs/>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7B21E7"/>
    <w:rPr>
      <w:rFonts w:ascii="Neutra Text" w:eastAsiaTheme="majorEastAsia" w:hAnsi="Neutra Text" w:cstheme="majorBidi"/>
      <w:b/>
      <w:i/>
      <w:iCs/>
      <w:sz w:val="28"/>
      <w:lang w:val="en-US"/>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 w:type="paragraph" w:customStyle="1" w:styleId="font-claude-response-body">
    <w:name w:val="font-claude-response-body"/>
    <w:basedOn w:val="Normal"/>
    <w:rsid w:val="007B21E7"/>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styleId="Strong">
    <w:name w:val="Strong"/>
    <w:basedOn w:val="DefaultParagraphFont"/>
    <w:uiPriority w:val="22"/>
    <w:qFormat/>
    <w:rsid w:val="007B21E7"/>
    <w:rPr>
      <w:b/>
      <w:bCs/>
    </w:rPr>
  </w:style>
  <w:style w:type="table" w:styleId="TableGrid">
    <w:name w:val="Table Grid"/>
    <w:basedOn w:val="TableNormal"/>
    <w:uiPriority w:val="39"/>
    <w:rsid w:val="00363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141FD"/>
    <w:pPr>
      <w:spacing w:after="0" w:line="240" w:lineRule="auto"/>
    </w:pPr>
    <w:rPr>
      <w:rFonts w:ascii="Neutra Text" w:hAnsi="Neutra Tex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46</Pages>
  <Words>12802</Words>
  <Characters>72973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85604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122</cp:revision>
  <cp:lastPrinted>2024-06-19T00:06:00Z</cp:lastPrinted>
  <dcterms:created xsi:type="dcterms:W3CDTF">2026-01-07T18:27:00Z</dcterms:created>
  <dcterms:modified xsi:type="dcterms:W3CDTF">2026-06-17T08:55:00Z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