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Vendor Contract Management — Entities &amp; Data Map</w:t>
      </w:r>
    </w:p>
    <w:p>
      <w:pPr>
        <w:jc w:val="center"/>
      </w:pPr>
      <w:r>
        <w:t>Northbridge Health Network  •  WorkIQ Hackathon Prototype  •  July 2026</w:t>
      </w:r>
    </w:p>
    <w:p/>
    <w:p>
      <w:pPr>
        <w:pStyle w:val="Heading1"/>
      </w:pPr>
      <w:r>
        <w:t>1  Overview</w:t>
      </w:r>
    </w:p>
    <w:p>
      <w:r>
        <w:t>Three new vendors have been added to the Northbridge Health Network (c1-northbridge) scenario to support the Vendor Contract Management use case. These vendors cover three contract categories. The existing vendor Lumina Health Systems (EHR &amp; Clinical Software) is formalized as VND-001.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Vendor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Contract ID</w:t>
            </w:r>
          </w:p>
        </w:tc>
      </w:tr>
      <w:tr>
        <w:tc>
          <w:tcPr>
            <w:tcW w:type="dxa" w:w="2160"/>
            <w:shd w:fill="D6E4F0" w:val="clear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18"/>
              </w:rPr>
              <w:t>MediTech Biomedical Inc.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18"/>
              </w:rPr>
              <w:t>Medical &amp; Biomedical Equipment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18"/>
              </w:rPr>
              <w:t>VND-002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PharmaLink Distributors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Clinical Supplies &amp; Pharmacy Distribution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VND-003</w:t>
            </w:r>
          </w:p>
        </w:tc>
      </w:tr>
      <w:tr>
        <w:tc>
          <w:tcPr>
            <w:tcW w:type="dxa" w:w="2160"/>
            <w:shd w:fill="D6E4F0" w:val="clea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18"/>
              </w:rPr>
              <w:t>ClearPoint Clinical Solutions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18"/>
              </w:rPr>
              <w:t>Clinical Software (CPOE &amp; Lab)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18"/>
              </w:rPr>
              <w:t>VND-004</w:t>
            </w:r>
          </w:p>
        </w:tc>
      </w:tr>
    </w:tbl>
    <w:p/>
    <w:p>
      <w:pPr>
        <w:pStyle w:val="Heading1"/>
      </w:pPr>
      <w:r>
        <w:t>2  New Entities Created</w:t>
      </w:r>
    </w:p>
    <w:p>
      <w:pPr>
        <w:pStyle w:val="Heading2"/>
      </w:pPr>
      <w:r>
        <w:t>2.1  People  (people.json)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72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172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172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Organization</w:t>
            </w:r>
          </w:p>
        </w:tc>
        <w:tc>
          <w:tcPr>
            <w:tcW w:type="dxa" w:w="172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</w:tr>
      <w:tr>
        <w:tc>
          <w:tcPr>
            <w:tcW w:type="dxa" w:w="1728"/>
            <w:shd w:fill="D6E4F0" w:val="clear"/>
          </w:tcPr>
          <w:p>
            <w:r>
              <w:rPr>
                <w:sz w:val="18"/>
              </w:rPr>
              <w:t>PPL-011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18"/>
              </w:rPr>
              <w:t>Karen Liu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18"/>
              </w:rPr>
              <w:t>Vendor / Contract Manager (VMO)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18"/>
              </w:rPr>
              <w:t>Northbridge — Procurement &amp; Vendor Management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18"/>
              </w:rPr>
              <w:t>Internal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PPL-012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Rachel Torres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Account Manager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MediTech Biomedical Inc.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Vendor</w:t>
            </w:r>
          </w:p>
        </w:tc>
      </w:tr>
      <w:tr>
        <w:tc>
          <w:tcPr>
            <w:tcW w:type="dxa" w:w="1728"/>
            <w:shd w:fill="D6E4F0" w:val="clear"/>
          </w:tcPr>
          <w:p>
            <w:r>
              <w:rPr>
                <w:sz w:val="18"/>
              </w:rPr>
              <w:t>PPL-013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18"/>
              </w:rPr>
              <w:t>Steve Nakamura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18"/>
              </w:rPr>
              <w:t>Regional Manager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18"/>
              </w:rPr>
              <w:t>PharmaLink Distributors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18"/>
              </w:rPr>
              <w:t>Vendor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PPL-014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Lisa Chen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Account Director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ClearPoint Clinical Solutions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Vendor</w:t>
            </w:r>
          </w:p>
        </w:tc>
      </w:tr>
      <w:tr>
        <w:tc>
          <w:tcPr>
            <w:tcW w:type="dxa" w:w="1728"/>
            <w:shd w:fill="D6E4F0" w:val="clear"/>
          </w:tcPr>
          <w:p>
            <w:r>
              <w:rPr>
                <w:sz w:val="18"/>
              </w:rPr>
              <w:t>PPL-015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18"/>
              </w:rPr>
              <w:t>Marcus Webb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18"/>
              </w:rPr>
              <w:t>Procurement &amp; Sourcing Lead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18"/>
              </w:rPr>
              <w:t>Northbridge — Procurement &amp; Vendor Management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18"/>
              </w:rPr>
              <w:t>Internal</w:t>
            </w:r>
          </w:p>
        </w:tc>
      </w:tr>
    </w:tbl>
    <w:p/>
    <w:p>
      <w:pPr>
        <w:pStyle w:val="Heading2"/>
      </w:pPr>
      <w:r>
        <w:t>2.2  Personas  (personas.json)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Label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vendor_manager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Karen Liu — VMO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Sees all vendor contracts, SLA performance, commitments, escalations, and commercial terms. Does NOT see HR-sensitive credentialing material.</w:t>
            </w:r>
          </w:p>
        </w:tc>
      </w:tr>
    </w:tbl>
    <w:p/>
    <w:p>
      <w:pPr>
        <w:pStyle w:val="Heading2"/>
      </w:pPr>
      <w:r>
        <w:t>2.3  Stakeholder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Stakeholder Role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Person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What They See</w:t>
            </w:r>
          </w:p>
        </w:tc>
      </w:tr>
      <w:tr>
        <w:tc>
          <w:tcPr>
            <w:tcW w:type="dxa" w:w="2160"/>
            <w:shd w:fill="D6E4F0" w:val="clear"/>
          </w:tcPr>
          <w:p>
            <w:r>
              <w:rPr>
                <w:sz w:val="18"/>
              </w:rPr>
              <w:t>Vendor / Contract Manager (VMO)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18"/>
              </w:rPr>
              <w:t>Karen Liu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18"/>
              </w:rPr>
              <w:t>PPL-011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18"/>
              </w:rPr>
              <w:t>All vendor data, SLA reports, contract terms, escalations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Procurement / Sourcing Lead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Marcus Webb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PPL-015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Renewal calendar, rebid recommendations, vendor evaluations</w:t>
            </w:r>
          </w:p>
        </w:tc>
      </w:tr>
      <w:tr>
        <w:tc>
          <w:tcPr>
            <w:tcW w:type="dxa" w:w="2160"/>
            <w:shd w:fill="D6E4F0" w:val="clear"/>
          </w:tcPr>
          <w:p>
            <w:r>
              <w:rPr>
                <w:sz w:val="18"/>
              </w:rPr>
              <w:t>Category Mgr — IT &amp; Software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18"/>
              </w:rPr>
              <w:t>Robert Klein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18"/>
              </w:rPr>
              <w:t>PPL-004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18"/>
              </w:rPr>
              <w:t>Lumina (EHR) + ClearPoint (CPOE) contracts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Category Mgr — Compliance / Equipment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Priya Raman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PPL-007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MediTech calibration and JC equipment standards</w:t>
            </w:r>
          </w:p>
        </w:tc>
      </w:tr>
      <w:tr>
        <w:tc>
          <w:tcPr>
            <w:tcW w:type="dxa" w:w="2160"/>
            <w:shd w:fill="D6E4F0" w:val="clear"/>
          </w:tcPr>
          <w:p>
            <w:r>
              <w:rPr>
                <w:sz w:val="18"/>
              </w:rPr>
              <w:t>Category Mgr — Pharmacy Operations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18"/>
              </w:rPr>
              <w:t>David Munoz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18"/>
              </w:rPr>
              <w:t>PPL-006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18"/>
              </w:rPr>
              <w:t>PharmaLink supply chain, controlled-substance compliance</w:t>
            </w:r>
          </w:p>
        </w:tc>
      </w:tr>
    </w:tbl>
    <w:p/>
    <w:p>
      <w:pPr>
        <w:pStyle w:val="Heading1"/>
      </w:pPr>
      <w:r>
        <w:t>3  Vendor Contract Tracker  (tables/vendor_contract_tracker.json)</w:t>
      </w:r>
    </w:p>
    <w:p>
      <w:r>
        <w:t>New Dataverse-style table tracking all active vendor contracts. Fields per record: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32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320"/>
            <w:shd w:fill="D6E4F0" w:val="clear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4320"/>
            <w:shd w:fill="D6E4F0" w:val="clear"/>
          </w:tcPr>
          <w:p>
            <w:r>
              <w:rPr>
                <w:sz w:val="18"/>
              </w:rPr>
              <w:t>Unique vendor contract ID (VND-xxx)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vendor_name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Legal vendor name</w:t>
            </w:r>
          </w:p>
        </w:tc>
      </w:tr>
      <w:tr>
        <w:tc>
          <w:tcPr>
            <w:tcW w:type="dxa" w:w="4320"/>
            <w:shd w:fill="D6E4F0" w:val="clear"/>
          </w:tcPr>
          <w:p>
            <w:r>
              <w:rPr>
                <w:sz w:val="18"/>
              </w:rPr>
              <w:t>vendor_contact</w:t>
            </w:r>
          </w:p>
        </w:tc>
        <w:tc>
          <w:tcPr>
            <w:tcW w:type="dxa" w:w="4320"/>
            <w:shd w:fill="D6E4F0" w:val="clear"/>
          </w:tcPr>
          <w:p>
            <w:r>
              <w:rPr>
                <w:sz w:val="18"/>
              </w:rPr>
              <w:t>People ID of vendor primary contact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Contract category (EHR, Equipment, Supplies, Software)</w:t>
            </w:r>
          </w:p>
        </w:tc>
      </w:tr>
      <w:tr>
        <w:tc>
          <w:tcPr>
            <w:tcW w:type="dxa" w:w="4320"/>
            <w:shd w:fill="D6E4F0" w:val="clear"/>
          </w:tcPr>
          <w:p>
            <w:r>
              <w:rPr>
                <w:sz w:val="18"/>
              </w:rPr>
              <w:t>contract_type</w:t>
            </w:r>
          </w:p>
        </w:tc>
        <w:tc>
          <w:tcPr>
            <w:tcW w:type="dxa" w:w="4320"/>
            <w:shd w:fill="D6E4F0" w:val="clear"/>
          </w:tcPr>
          <w:p>
            <w:r>
              <w:rPr>
                <w:sz w:val="18"/>
              </w:rPr>
              <w:t>Type of agreement (MSA, License, Distribution, etc.)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contract_value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Annual contract value</w:t>
            </w:r>
          </w:p>
        </w:tc>
      </w:tr>
      <w:tr>
        <w:tc>
          <w:tcPr>
            <w:tcW w:type="dxa" w:w="4320"/>
            <w:shd w:fill="D6E4F0" w:val="clear"/>
          </w:tcPr>
          <w:p>
            <w:r>
              <w:rPr>
                <w:sz w:val="18"/>
              </w:rPr>
              <w:t>start_date / end_date</w:t>
            </w:r>
          </w:p>
        </w:tc>
        <w:tc>
          <w:tcPr>
            <w:tcW w:type="dxa" w:w="4320"/>
            <w:shd w:fill="D6E4F0" w:val="clear"/>
          </w:tcPr>
          <w:p>
            <w:r>
              <w:rPr>
                <w:sz w:val="18"/>
              </w:rPr>
              <w:t>Contract term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renewal_type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Auto-renewal vs fixed term, notice period</w:t>
            </w:r>
          </w:p>
        </w:tc>
      </w:tr>
      <w:tr>
        <w:tc>
          <w:tcPr>
            <w:tcW w:type="dxa" w:w="4320"/>
            <w:shd w:fill="D6E4F0" w:val="clear"/>
          </w:tcPr>
          <w:p>
            <w:r>
              <w:rPr>
                <w:sz w:val="18"/>
              </w:rPr>
              <w:t>sla_response_hours</w:t>
            </w:r>
          </w:p>
        </w:tc>
        <w:tc>
          <w:tcPr>
            <w:tcW w:type="dxa" w:w="4320"/>
            <w:shd w:fill="D6E4F0" w:val="clear"/>
          </w:tcPr>
          <w:p>
            <w:r>
              <w:rPr>
                <w:sz w:val="18"/>
              </w:rPr>
              <w:t>SLA response-time commitments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sla_uptime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Uptime SLA (where applicable)</w:t>
            </w:r>
          </w:p>
        </w:tc>
      </w:tr>
      <w:tr>
        <w:tc>
          <w:tcPr>
            <w:tcW w:type="dxa" w:w="4320"/>
            <w:shd w:fill="D6E4F0" w:val="clear"/>
          </w:tcPr>
          <w:p>
            <w:r>
              <w:rPr>
                <w:sz w:val="18"/>
              </w:rPr>
              <w:t>service_credit_clause</w:t>
            </w:r>
          </w:p>
        </w:tc>
        <w:tc>
          <w:tcPr>
            <w:tcW w:type="dxa" w:w="4320"/>
            <w:shd w:fill="D6E4F0" w:val="clear"/>
          </w:tcPr>
          <w:p>
            <w:r>
              <w:rPr>
                <w:sz w:val="18"/>
              </w:rPr>
              <w:t>Penalty / credit terms for SLA breach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performance_kpi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Key performance indicators tracked</w:t>
            </w:r>
          </w:p>
        </w:tc>
      </w:tr>
      <w:tr>
        <w:tc>
          <w:tcPr>
            <w:tcW w:type="dxa" w:w="4320"/>
            <w:shd w:fill="D6E4F0" w:val="clear"/>
          </w:tcPr>
          <w:p>
            <w:r>
              <w:rPr>
                <w:sz w:val="18"/>
              </w:rPr>
              <w:t>compliance_requirements</w:t>
            </w:r>
          </w:p>
        </w:tc>
        <w:tc>
          <w:tcPr>
            <w:tcW w:type="dxa" w:w="4320"/>
            <w:shd w:fill="D6E4F0" w:val="clear"/>
          </w:tcPr>
          <w:p>
            <w:r>
              <w:rPr>
                <w:sz w:val="18"/>
              </w:rPr>
              <w:t>Joint Commission and regulatory requirements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Current contract status</w:t>
            </w:r>
          </w:p>
        </w:tc>
      </w:tr>
      <w:tr>
        <w:tc>
          <w:tcPr>
            <w:tcW w:type="dxa" w:w="4320"/>
            <w:shd w:fill="D6E4F0" w:val="clear"/>
          </w:tcPr>
          <w:p>
            <w:r>
              <w:rPr>
                <w:sz w:val="18"/>
              </w:rPr>
              <w:t>current_sla_status</w:t>
            </w:r>
          </w:p>
        </w:tc>
        <w:tc>
          <w:tcPr>
            <w:tcW w:type="dxa" w:w="4320"/>
            <w:shd w:fill="D6E4F0" w:val="clear"/>
          </w:tcPr>
          <w:p>
            <w:r>
              <w:rPr>
                <w:sz w:val="18"/>
              </w:rPr>
              <w:t>Green / Amber / 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owner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VMO owner (People ID)</w:t>
            </w:r>
          </w:p>
        </w:tc>
      </w:tr>
      <w:tr>
        <w:tc>
          <w:tcPr>
            <w:tcW w:type="dxa" w:w="4320"/>
            <w:shd w:fill="D6E4F0" w:val="clear"/>
          </w:tcPr>
          <w:p>
            <w:r>
              <w:rPr>
                <w:sz w:val="18"/>
              </w:rPr>
              <w:t>internal_category_manager</w:t>
            </w:r>
          </w:p>
        </w:tc>
        <w:tc>
          <w:tcPr>
            <w:tcW w:type="dxa" w:w="4320"/>
            <w:shd w:fill="D6E4F0" w:val="clear"/>
          </w:tcPr>
          <w:p>
            <w:r>
              <w:rPr>
                <w:sz w:val="18"/>
              </w:rPr>
              <w:t>Internal category manager (People ID)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open_commitments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Count of open vendor commitments</w:t>
            </w:r>
          </w:p>
        </w:tc>
      </w:tr>
      <w:tr>
        <w:tc>
          <w:tcPr>
            <w:tcW w:type="dxa" w:w="4320"/>
            <w:shd w:fill="D6E4F0" w:val="clear"/>
          </w:tcPr>
          <w:p>
            <w:r>
              <w:rPr>
                <w:sz w:val="18"/>
              </w:rPr>
              <w:t>next_milestone</w:t>
            </w:r>
          </w:p>
        </w:tc>
        <w:tc>
          <w:tcPr>
            <w:tcW w:type="dxa" w:w="4320"/>
            <w:shd w:fill="D6E4F0" w:val="clear"/>
          </w:tcPr>
          <w:p>
            <w:r>
              <w:rPr>
                <w:sz w:val="18"/>
              </w:rPr>
              <w:t>Next upcoming milestone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Access-control list</w:t>
            </w:r>
          </w:p>
        </w:tc>
      </w:tr>
    </w:tbl>
    <w:p/>
    <w:p>
      <w:pPr>
        <w:pStyle w:val="Heading2"/>
      </w:pPr>
      <w:r>
        <w:t>3.1  Contract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VND ID</w:t>
            </w:r>
          </w:p>
        </w:tc>
        <w:tc>
          <w:tcPr>
            <w:tcW w:type="dxa" w:w="1234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Vendor</w:t>
            </w:r>
          </w:p>
        </w:tc>
        <w:tc>
          <w:tcPr>
            <w:tcW w:type="dxa" w:w="1234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234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1234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SLA</w:t>
            </w:r>
          </w:p>
        </w:tc>
        <w:tc>
          <w:tcPr>
            <w:tcW w:type="dxa" w:w="1234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Renewal</w:t>
            </w:r>
          </w:p>
        </w:tc>
        <w:tc>
          <w:tcPr>
            <w:tcW w:type="dxa" w:w="1234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Service Credit</w:t>
            </w:r>
          </w:p>
        </w:tc>
      </w:tr>
      <w:tr>
        <w:tc>
          <w:tcPr>
            <w:tcW w:type="dxa" w:w="1234"/>
            <w:shd w:fill="D6E4F0" w:val="clear"/>
          </w:tcPr>
          <w:p>
            <w:r>
              <w:rPr>
                <w:sz w:val="18"/>
              </w:rPr>
              <w:t>VND-001</w:t>
            </w:r>
          </w:p>
        </w:tc>
        <w:tc>
          <w:tcPr>
            <w:tcW w:type="dxa" w:w="1234"/>
            <w:shd w:fill="D6E4F0" w:val="clear"/>
          </w:tcPr>
          <w:p>
            <w:r>
              <w:rPr>
                <w:sz w:val="18"/>
              </w:rPr>
              <w:t>Lumina Health Systems</w:t>
            </w:r>
          </w:p>
        </w:tc>
        <w:tc>
          <w:tcPr>
            <w:tcW w:type="dxa" w:w="1234"/>
            <w:shd w:fill="D6E4F0" w:val="clear"/>
          </w:tcPr>
          <w:p>
            <w:r>
              <w:rPr>
                <w:sz w:val="18"/>
              </w:rPr>
              <w:t>EHR &amp; Clinical Software</w:t>
            </w:r>
          </w:p>
        </w:tc>
        <w:tc>
          <w:tcPr>
            <w:tcW w:type="dxa" w:w="1234"/>
            <w:shd w:fill="D6E4F0" w:val="clear"/>
          </w:tcPr>
          <w:p>
            <w:r>
              <w:rPr>
                <w:sz w:val="18"/>
              </w:rPr>
              <w:t>$1.2M</w:t>
            </w:r>
          </w:p>
        </w:tc>
        <w:tc>
          <w:tcPr>
            <w:tcW w:type="dxa" w:w="1234"/>
            <w:shd w:fill="D6E4F0" w:val="clear"/>
          </w:tcPr>
          <w:p>
            <w:r>
              <w:rPr>
                <w:sz w:val="18"/>
              </w:rPr>
              <w:t>Green</w:t>
            </w:r>
          </w:p>
        </w:tc>
        <w:tc>
          <w:tcPr>
            <w:tcW w:type="dxa" w:w="1234"/>
            <w:shd w:fill="D6E4F0" w:val="clear"/>
          </w:tcPr>
          <w:p>
            <w:r>
              <w:rPr>
                <w:sz w:val="18"/>
              </w:rPr>
              <w:t>01-MAR-2027 (120-day notice)</w:t>
            </w:r>
          </w:p>
        </w:tc>
        <w:tc>
          <w:tcPr>
            <w:tcW w:type="dxa" w:w="1234"/>
            <w:shd w:fill="D6E4F0" w:val="clear"/>
          </w:tcPr>
          <w:p>
            <w:r>
              <w:rPr>
                <w:sz w:val="18"/>
              </w:rPr>
              <w:t>8 % impl. fee / week of delay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VND-002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MediTech Biomedical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Medical &amp; Biomedical Equipment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$340K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Green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01-SEP-2026 (auto, 60-day notice)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10 % monthly fee / month of breach</w:t>
            </w:r>
          </w:p>
        </w:tc>
      </w:tr>
      <w:tr>
        <w:tc>
          <w:tcPr>
            <w:tcW w:type="dxa" w:w="1234"/>
            <w:shd w:fill="D6E4F0" w:val="clear"/>
          </w:tcPr>
          <w:p>
            <w:r>
              <w:rPr>
                <w:sz w:val="18"/>
              </w:rPr>
              <w:t>VND-003</w:t>
            </w:r>
          </w:p>
        </w:tc>
        <w:tc>
          <w:tcPr>
            <w:tcW w:type="dxa" w:w="1234"/>
            <w:shd w:fill="D6E4F0" w:val="clear"/>
          </w:tcPr>
          <w:p>
            <w:r>
              <w:rPr>
                <w:sz w:val="18"/>
              </w:rPr>
              <w:t>PharmaLink Distributors</w:t>
            </w:r>
          </w:p>
        </w:tc>
        <w:tc>
          <w:tcPr>
            <w:tcW w:type="dxa" w:w="1234"/>
            <w:shd w:fill="D6E4F0" w:val="clear"/>
          </w:tcPr>
          <w:p>
            <w:r>
              <w:rPr>
                <w:sz w:val="18"/>
              </w:rPr>
              <w:t>Clinical Supplies &amp; Pharmacy</w:t>
            </w:r>
          </w:p>
        </w:tc>
        <w:tc>
          <w:tcPr>
            <w:tcW w:type="dxa" w:w="1234"/>
            <w:shd w:fill="D6E4F0" w:val="clear"/>
          </w:tcPr>
          <w:p>
            <w:r>
              <w:rPr>
                <w:sz w:val="18"/>
              </w:rPr>
              <w:t>$520K</w:t>
            </w:r>
          </w:p>
        </w:tc>
        <w:tc>
          <w:tcPr>
            <w:tcW w:type="dxa" w:w="1234"/>
            <w:shd w:fill="D6E4F0" w:val="clear"/>
          </w:tcPr>
          <w:p>
            <w:r>
              <w:rPr>
                <w:sz w:val="18"/>
              </w:rPr>
              <w:t>Amber</w:t>
            </w:r>
          </w:p>
        </w:tc>
        <w:tc>
          <w:tcPr>
            <w:tcW w:type="dxa" w:w="1234"/>
            <w:shd w:fill="D6E4F0" w:val="clear"/>
          </w:tcPr>
          <w:p>
            <w:r>
              <w:rPr>
                <w:sz w:val="18"/>
              </w:rPr>
              <w:t>15-OCT-2026 (90-day rebid notice)</w:t>
            </w:r>
          </w:p>
        </w:tc>
        <w:tc>
          <w:tcPr>
            <w:tcW w:type="dxa" w:w="1234"/>
            <w:shd w:fill="D6E4F0" w:val="clear"/>
          </w:tcPr>
          <w:p>
            <w:r>
              <w:rPr>
                <w:sz w:val="18"/>
              </w:rPr>
              <w:t>5 % line-item value / week of delay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VND-004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ClearPoint Clinical Solutions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Clinical Software (CPOE &amp; Lab)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$280K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Green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01-MAR-2027 (120-day notice)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5 % monthly license / month &lt; 99.5 % uptime</w:t>
            </w:r>
          </w:p>
        </w:tc>
      </w:tr>
    </w:tbl>
    <w:p/>
    <w:p>
      <w:pPr>
        <w:pStyle w:val="Heading1"/>
      </w:pPr>
      <w:r>
        <w:t>4  Emails Added  (emails.json)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72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Thread</w:t>
            </w:r>
          </w:p>
        </w:tc>
        <w:tc>
          <w:tcPr>
            <w:tcW w:type="dxa" w:w="172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Subject</w:t>
            </w:r>
          </w:p>
        </w:tc>
        <w:tc>
          <w:tcPr>
            <w:tcW w:type="dxa" w:w="172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From → To</w:t>
            </w:r>
          </w:p>
        </w:tc>
        <w:tc>
          <w:tcPr>
            <w:tcW w:type="dxa" w:w="172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Key Content</w:t>
            </w:r>
          </w:p>
        </w:tc>
      </w:tr>
      <w:tr>
        <w:tc>
          <w:tcPr>
            <w:tcW w:type="dxa" w:w="1728"/>
            <w:shd w:fill="D6E4F0" w:val="clear"/>
          </w:tcPr>
          <w:p>
            <w:r>
              <w:rPr>
                <w:sz w:val="18"/>
              </w:rPr>
              <w:t>EML-007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18"/>
              </w:rPr>
              <w:t>THR-MEDITECH-CALIBRATION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18"/>
              </w:rPr>
              <w:t>Biomedical calibration schedule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18"/>
              </w:rPr>
              <w:t>Rachel Torres → Karen Liu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18"/>
              </w:rPr>
              <w:t>Westgate patient monitors (14-JUL) &amp; autoclave (18-JUL) scheduled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EML-008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THR-MEDITECH-CALIBRATION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RE: Biomedical calibration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Karen Liu → Rachel Torres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Access confirmed; certs needed within 48 h</w:t>
            </w:r>
          </w:p>
        </w:tc>
      </w:tr>
      <w:tr>
        <w:tc>
          <w:tcPr>
            <w:tcW w:type="dxa" w:w="1728"/>
            <w:shd w:fill="D6E4F0" w:val="clear"/>
          </w:tcPr>
          <w:p>
            <w:r>
              <w:rPr>
                <w:sz w:val="18"/>
              </w:rPr>
              <w:t>EML-009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18"/>
              </w:rPr>
              <w:t>THR-PHARMALINK-SUPPLY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18"/>
              </w:rPr>
              <w:t>Delivery delay — audit log binders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18"/>
              </w:rPr>
              <w:t>Steve Nakamura → Karen Liu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18"/>
              </w:rPr>
              <w:t>Controlled-substance binders delayed to 16-JUL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EML-010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THR-PHARMALINK-SUPPLY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RE: Delivery delay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Karen Liu → Steve Nakamura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SLA clause 5.2 invoked if further delay</w:t>
            </w:r>
          </w:p>
        </w:tc>
      </w:tr>
      <w:tr>
        <w:tc>
          <w:tcPr>
            <w:tcW w:type="dxa" w:w="1728"/>
            <w:shd w:fill="D6E4F0" w:val="clear"/>
          </w:tcPr>
          <w:p>
            <w:r>
              <w:rPr>
                <w:sz w:val="18"/>
              </w:rPr>
              <w:t>EML-011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18"/>
              </w:rPr>
              <w:t>THR-CLEARPOINT-CPOE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18"/>
              </w:rPr>
              <w:t>CPOE upgrade v4.2 patch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18"/>
              </w:rPr>
              <w:t>Lisa Chen → Karen Liu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18"/>
              </w:rPr>
              <w:t>v4.2 targeting 17-JUL staging, 21-JUL prod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EML-012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THR-CLEARPOINT-CPOE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RE: CPOE upgrade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Karen Liu → Lisa Chen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HL7 feed activation coordinated for 15-JUL</w:t>
            </w:r>
          </w:p>
        </w:tc>
      </w:tr>
      <w:tr>
        <w:tc>
          <w:tcPr>
            <w:tcW w:type="dxa" w:w="1728"/>
            <w:shd w:fill="D6E4F0" w:val="clear"/>
          </w:tcPr>
          <w:p>
            <w:r>
              <w:rPr>
                <w:sz w:val="18"/>
              </w:rPr>
              <w:t>EML-013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18"/>
              </w:rPr>
              <w:t>THR-VENDOR-WEEKLY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18"/>
              </w:rPr>
              <w:t>Weekly vendor status roll-up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18"/>
              </w:rPr>
              <w:t>Karen Liu → James Whitaker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18"/>
              </w:rPr>
              <w:t>All-vendor weekly summary (restricted)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EML-014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THR-VENDOR-COMMERCIAL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Contract renewal calendar Q3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Marcus Webb → Karen Liu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Renewal actions — MediTech, PharmaLink, ClearPoint (restricted)</w:t>
            </w:r>
          </w:p>
        </w:tc>
      </w:tr>
    </w:tbl>
    <w:p/>
    <w:p>
      <w:pPr>
        <w:pStyle w:val="Heading1"/>
      </w:pPr>
      <w:r>
        <w:t>5  Teams Messages Added  (teams.json)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Channel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Key Content</w:t>
            </w:r>
          </w:p>
        </w:tc>
      </w:tr>
      <w:tr>
        <w:tc>
          <w:tcPr>
            <w:tcW w:type="dxa" w:w="2160"/>
            <w:shd w:fill="D6E4F0" w:val="clear"/>
          </w:tcPr>
          <w:p>
            <w:r>
              <w:rPr>
                <w:sz w:val="18"/>
              </w:rPr>
              <w:t>MSG-006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18"/>
              </w:rPr>
              <w:t>Vendor Management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18"/>
              </w:rPr>
              <w:t>Karen Liu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18"/>
              </w:rPr>
              <w:t>Portfolio update: 4 vendors, PharmaLink amber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MSG-007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Vendor Management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Karen Liu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MediTech calibration dates confirmed</w:t>
            </w:r>
          </w:p>
        </w:tc>
      </w:tr>
      <w:tr>
        <w:tc>
          <w:tcPr>
            <w:tcW w:type="dxa" w:w="2160"/>
            <w:shd w:fill="D6E4F0" w:val="clear"/>
          </w:tcPr>
          <w:p>
            <w:r>
              <w:rPr>
                <w:sz w:val="18"/>
              </w:rPr>
              <w:t>MSG-008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18"/>
              </w:rPr>
              <w:t>Vendor Management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18"/>
              </w:rPr>
              <w:t>Marcus Webb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18"/>
              </w:rPr>
              <w:t>Contract renewal heads-up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MSG-009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Vendor Management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Robert Klein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ClearPoint HL7 feed coordination</w:t>
            </w:r>
          </w:p>
        </w:tc>
      </w:tr>
      <w:tr>
        <w:tc>
          <w:tcPr>
            <w:tcW w:type="dxa" w:w="2160"/>
            <w:shd w:fill="D6E4F0" w:val="clear"/>
          </w:tcPr>
          <w:p>
            <w:r>
              <w:rPr>
                <w:sz w:val="18"/>
              </w:rPr>
              <w:t>MSG-010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18"/>
              </w:rPr>
              <w:t>Vendor Management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18"/>
              </w:rPr>
              <w:t>Karen Liu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18"/>
              </w:rPr>
              <w:t>Weekly JC vendor readiness summary</w:t>
            </w:r>
          </w:p>
        </w:tc>
      </w:tr>
    </w:tbl>
    <w:p/>
    <w:p>
      <w:pPr>
        <w:pStyle w:val="Heading1"/>
      </w:pPr>
      <w:r>
        <w:t>6  Meeting Added  (meetings.json)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72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72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172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Attendees</w:t>
            </w:r>
          </w:p>
        </w:tc>
        <w:tc>
          <w:tcPr>
            <w:tcW w:type="dxa" w:w="172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Key Decisions</w:t>
            </w:r>
          </w:p>
        </w:tc>
      </w:tr>
      <w:tr>
        <w:tc>
          <w:tcPr>
            <w:tcW w:type="dxa" w:w="1728"/>
            <w:shd w:fill="D6E4F0" w:val="clear"/>
          </w:tcPr>
          <w:p>
            <w:r>
              <w:rPr>
                <w:sz w:val="18"/>
              </w:rPr>
              <w:t>MTG-005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18"/>
              </w:rPr>
              <w:t>Monthly Vendor Performance Review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18"/>
              </w:rPr>
              <w:t>10-JUL-2026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18"/>
              </w:rPr>
              <w:t>Karen Liu, James Whitaker, Marcus Webb, Priya Raman, Maria Delgado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18"/>
              </w:rPr>
              <w:t>Reviewed all 4 vendors; MediTech renewal recommended; PharmaLink rebid flagged; ClearPoint JC compliance confirmed</w:t>
            </w:r>
          </w:p>
        </w:tc>
      </w:tr>
    </w:tbl>
    <w:p/>
    <w:p>
      <w:pPr>
        <w:pStyle w:val="Heading2"/>
      </w:pPr>
      <w:r>
        <w:t>6.1  Action Items from MTG-005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AI ID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Due</w:t>
            </w:r>
          </w:p>
        </w:tc>
      </w:tr>
      <w:tr>
        <w:tc>
          <w:tcPr>
            <w:tcW w:type="dxa" w:w="2160"/>
            <w:shd w:fill="D6E4F0" w:val="clear"/>
          </w:tcPr>
          <w:p>
            <w:r>
              <w:rPr>
                <w:sz w:val="18"/>
              </w:rPr>
              <w:t>AI-501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18"/>
              </w:rPr>
              <w:t>Obtain MediTech calibration certs within 48 h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18"/>
              </w:rPr>
              <w:t>Karen Liu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18"/>
              </w:rPr>
              <w:t>20-JUL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AI-502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Confirm PharmaLink binder delivery by 16-JUL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Karen Liu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16-JUL</w:t>
            </w:r>
          </w:p>
        </w:tc>
      </w:tr>
      <w:tr>
        <w:tc>
          <w:tcPr>
            <w:tcW w:type="dxa" w:w="2160"/>
            <w:shd w:fill="D6E4F0" w:val="clear"/>
          </w:tcPr>
          <w:p>
            <w:r>
              <w:rPr>
                <w:sz w:val="18"/>
              </w:rPr>
              <w:t>AI-503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18"/>
              </w:rPr>
              <w:t>Coordinate HL7 feed activation (Lumina ↔ ClearPoint)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18"/>
              </w:rPr>
              <w:t>Robert Klein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18"/>
              </w:rPr>
              <w:t>15-JUL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AI-504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Prepare MediTech MSA renewal recommendation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Marcus Webb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25-JUL</w:t>
            </w:r>
          </w:p>
        </w:tc>
      </w:tr>
      <w:tr>
        <w:tc>
          <w:tcPr>
            <w:tcW w:type="dxa" w:w="2160"/>
            <w:shd w:fill="D6E4F0" w:val="clear"/>
          </w:tcPr>
          <w:p>
            <w:r>
              <w:rPr>
                <w:sz w:val="18"/>
              </w:rPr>
              <w:t>AI-505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18"/>
              </w:rPr>
              <w:t>Draft rebid scope for PharmaLink controlled-substance segment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18"/>
              </w:rPr>
              <w:t>Marcus Webb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18"/>
              </w:rPr>
              <w:t>01-AUG</w:t>
            </w:r>
          </w:p>
        </w:tc>
      </w:tr>
    </w:tbl>
    <w:p/>
    <w:p>
      <w:pPr>
        <w:pStyle w:val="Heading1"/>
      </w:pPr>
      <w:r>
        <w:t>7  Files Added  (files.json)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72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172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72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Sensitivity</w:t>
            </w:r>
          </w:p>
        </w:tc>
        <w:tc>
          <w:tcPr>
            <w:tcW w:type="dxa" w:w="172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Key Content</w:t>
            </w:r>
          </w:p>
        </w:tc>
      </w:tr>
      <w:tr>
        <w:tc>
          <w:tcPr>
            <w:tcW w:type="dxa" w:w="1728"/>
            <w:shd w:fill="D6E4F0" w:val="clear"/>
          </w:tcPr>
          <w:p>
            <w:r>
              <w:rPr>
                <w:sz w:val="18"/>
              </w:rPr>
              <w:t>FILE-005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18"/>
              </w:rPr>
              <w:t>Vendor Contract Portfolio Summary — Q3 2026.xlsx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18"/>
              </w:rPr>
              <w:t>Spreadsheet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18"/>
              </w:rPr>
              <w:t>Internal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18"/>
              </w:rPr>
              <w:t>All 4 vendor contracts, values, SLA status, renewals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FILE-006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MediTech Biomedical — MSA &amp; SLA Schedule.pdf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Document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Full MSA terms, 48h/4h SLA, 10 % service credit</w:t>
            </w:r>
          </w:p>
        </w:tc>
      </w:tr>
      <w:tr>
        <w:tc>
          <w:tcPr>
            <w:tcW w:type="dxa" w:w="1728"/>
            <w:shd w:fill="D6E4F0" w:val="clear"/>
          </w:tcPr>
          <w:p>
            <w:r>
              <w:rPr>
                <w:sz w:val="18"/>
              </w:rPr>
              <w:t>FILE-007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18"/>
              </w:rPr>
              <w:t>PharmaLink — Distribution Agreement.pdf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18"/>
              </w:rPr>
              <w:t>Document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18"/>
              </w:rPr>
              <w:t>Restricted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18"/>
              </w:rPr>
              <w:t>Distribution terms, 5 % delay credit (clause 5.2)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FILE-008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ClearPoint — License &amp; Support Agreement.pdf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Document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License terms, 99.5 % uptime SLA, Appendix C JC mapping</w:t>
            </w:r>
          </w:p>
        </w:tc>
      </w:tr>
    </w:tbl>
    <w:p/>
    <w:p>
      <w:pPr>
        <w:pStyle w:val="Heading1"/>
      </w:pPr>
      <w:r>
        <w:t>8  Golden Questions Added  (golden.json)</w:t>
      </w:r>
    </w:p>
    <w:p>
      <w:r>
        <w:t>These golden questions support the two agent-initiated automation scenarios: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Tier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Automation Scenario</w:t>
            </w:r>
          </w:p>
        </w:tc>
      </w:tr>
      <w:tr>
        <w:tc>
          <w:tcPr>
            <w:tcW w:type="dxa" w:w="2160"/>
            <w:shd w:fill="D6E4F0" w:val="clear"/>
          </w:tcPr>
          <w:p>
            <w:r>
              <w:rPr>
                <w:sz w:val="18"/>
              </w:rPr>
              <w:t>Q9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18"/>
              </w:rPr>
              <w:t>agent-automation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18"/>
              </w:rPr>
              <w:t>Generate the weekly vendor and commitment status report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18"/>
              </w:rPr>
              <w:t>Weekly Vendor &amp; Commitment Status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agent-automation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Generate the Joint Commission readiness report (vendor compliance)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Joint Commission Readiness Report</w:t>
            </w:r>
          </w:p>
        </w:tc>
      </w:tr>
      <w:tr>
        <w:tc>
          <w:tcPr>
            <w:tcW w:type="dxa" w:w="2160"/>
            <w:shd w:fill="D6E4F0" w:val="clear"/>
          </w:tcPr>
          <w:p>
            <w:r>
              <w:rPr>
                <w:sz w:val="18"/>
              </w:rPr>
              <w:t>Q11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18"/>
              </w:rPr>
              <w:t>single-signal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18"/>
              </w:rPr>
              <w:t>MediTech contract status and open commitments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18"/>
              </w:rPr>
              <w:t>Vendor 360 deep dive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multi-signal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Vendor contract renewals and procurement recommendations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Renewal portfolio scan</w:t>
            </w:r>
          </w:p>
        </w:tc>
      </w:tr>
    </w:tbl>
    <w:p/>
    <w:p>
      <w:pPr>
        <w:pStyle w:val="Heading1"/>
      </w:pPr>
      <w:r>
        <w:t>9  Entity Cross-Reference Map</w:t>
      </w:r>
    </w:p>
    <w:p>
      <w:pPr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Entity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References To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Referenced By</w:t>
            </w:r>
          </w:p>
        </w:tc>
      </w:tr>
      <w:tr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VND-001 (Lumina)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PPL-008, PPL-011, PPL-004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EML-001/02/03, MSG-001..003, MTG-004, Q9/Q10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VND-002 (MediTech)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PPL-012, PPL-011, PPL-007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EML-007/08, MSG-007, MTG-005, FILE-006, Q9/Q10/Q11</w:t>
            </w:r>
          </w:p>
        </w:tc>
      </w:tr>
      <w:tr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VND-003 (PharmaLink)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PPL-013, PPL-011, PPL-006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EML-009/10, MSG-006, MTG-005, FILE-007, Q9/Q10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VND-004 (ClearPoint)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PPL-014, PPL-011, PPL-004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EML-011/12, MSG-009, MTG-005, FILE-008, Q9/Q10</w:t>
            </w:r>
          </w:p>
        </w:tc>
      </w:tr>
      <w:tr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PPL-011 (Karen Liu)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PPL-002 (manager)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VND-001..004, EML-007..013, MSG-006/07/10, MTG-005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PPL-015 (Marcus Webb)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PPL-002 (manager)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EML-014, MSG-008, MTG-005</w:t>
            </w:r>
          </w:p>
        </w:tc>
      </w:tr>
    </w:tbl>
    <w:p/>
    <w:p>
      <w:pPr>
        <w:pStyle w:val="Heading1"/>
      </w:pPr>
      <w:r>
        <w:t>10  Source Systems Mapped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Source System</w:t>
            </w:r>
          </w:p>
        </w:tc>
        <w:tc>
          <w:tcPr>
            <w:tcW w:type="dxa" w:w="172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172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Data Surfaced</w:t>
            </w:r>
          </w:p>
        </w:tc>
        <w:tc>
          <w:tcPr>
            <w:tcW w:type="dxa" w:w="172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Integration</w:t>
            </w:r>
          </w:p>
        </w:tc>
        <w:tc>
          <w:tcPr>
            <w:tcW w:type="dxa" w:w="172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Access</w:t>
            </w:r>
          </w:p>
        </w:tc>
      </w:tr>
      <w:tr>
        <w:tc>
          <w:tcPr>
            <w:tcW w:type="dxa" w:w="1728"/>
            <w:shd w:fill="D6E4F0" w:val="clear"/>
          </w:tcPr>
          <w:p>
            <w:r>
              <w:rPr>
                <w:sz w:val="18"/>
              </w:rPr>
              <w:t>Outlook / Exchange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18"/>
              </w:rPr>
              <w:t>M365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18"/>
              </w:rPr>
              <w:t>Vendor correspondence (EML-007..014), escalations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18"/>
              </w:rPr>
              <w:t>Native work graph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18"/>
              </w:rPr>
              <w:t>Read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Teams (chats &amp; channels)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M365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Vendor Management channel (MSG-006..010)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Native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Read</w:t>
            </w:r>
          </w:p>
        </w:tc>
      </w:tr>
      <w:tr>
        <w:tc>
          <w:tcPr>
            <w:tcW w:type="dxa" w:w="1728"/>
            <w:shd w:fill="D6E4F0" w:val="clear"/>
          </w:tcPr>
          <w:p>
            <w:r>
              <w:rPr>
                <w:sz w:val="18"/>
              </w:rPr>
              <w:t>Meetings &amp; transcripts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18"/>
              </w:rPr>
              <w:t>M365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18"/>
              </w:rPr>
              <w:t>Vendor Performance Review (MTG-005), action items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18"/>
              </w:rPr>
              <w:t>Native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18"/>
              </w:rPr>
              <w:t>Read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SharePoint / OneDrive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M365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SOWs, contracts, portfolio summary (FILE-005..008)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Native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Read</w:t>
            </w:r>
          </w:p>
        </w:tc>
      </w:tr>
      <w:tr>
        <w:tc>
          <w:tcPr>
            <w:tcW w:type="dxa" w:w="1728"/>
            <w:shd w:fill="D6E4F0" w:val="clear"/>
          </w:tcPr>
          <w:p>
            <w:r>
              <w:rPr>
                <w:sz w:val="18"/>
              </w:rPr>
              <w:t>People graph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18"/>
              </w:rPr>
              <w:t>M365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18"/>
              </w:rPr>
              <w:t>Vendor contacts, VMO ownership, reporting lines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18"/>
              </w:rPr>
              <w:t>Native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18"/>
              </w:rPr>
              <w:t>Read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Dataverse trackers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Native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Vendor contract tracker (VND-001..004), CAPA tracker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Tools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 / W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