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Cybersecurity Awareness Training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training program aims to equip employees with essential knowledge and skills to recognize and mitigate common cyber threats, including phishing, social engineering, and unsafe online practices.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 (can be adjusted based on company needs)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Topics Covered: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Introduction to Cybersecurity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Understanding Phishing Attacks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Recognizing Social Engineering Techniques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Best Practices for Safe Online Behavior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Securing Personal and Company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Training Modules: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1: Introduction to Cybersecurity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Definition of cybersecurity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Importance of cybersecurity awareness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Roles and responsibilities of employees in maintaining cybersecurity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2: Understanding Phishing Attacks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Definition and types of phishing attacks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Common phishing techniques (email, SMS, voice phishing)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Red flags to identify phishing emails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Reporting phishing attempts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3: Recognizing Social Engineering Techniques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Definition and examples of social engineering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Psychological manipulation tactics used by attackers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Identifying warning signs of social engineering attempts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Strategies to prevent falling victim to social engineering attacks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4: Best Practices for Safe Online Behavior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Creating strong passwords and using multi-factor authentication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Safe browsing habits and avoiding malicious websites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Being cautious with personal information sharing online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Tips for securely managing email and social media accounts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5: Securing Personal and Company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Importance of data protection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Handling sensitive information securely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Encrypting data and using secure file transfer methods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Data backup and disaster recovery procedures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Delivery Methods: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Interactive presentations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Real-life case studies and examples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Role-playing exercises for practicing phishing and social engineering scenarios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Q&amp;A sessions for clarifications and additional information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Assessment: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Post-training quiz to evaluate understanding and retention of key concepts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Feedback forms for participants to provide input on the training program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Resources: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Cybersecurity policy documents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External resources such as articles, videos, and online tutorials for further learning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By completing this cybersecurity awareness training program, employees will be better equipped to identify and respond to cyber threats, contributing to a more secure work environment for the company. Ongoing reinforcement and updates will be provided to ensure continuous improvement in cybersecurity practices.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