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226" w:rsidRDefault="00C552C3">
      <w:pPr>
        <w:pStyle w:val="Heading1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:rsidR="007D4226" w:rsidRDefault="007D4226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7D4226">
        <w:trPr>
          <w:trHeight w:val="400"/>
        </w:trPr>
        <w:tc>
          <w:tcPr>
            <w:tcW w:w="2160" w:type="dxa"/>
          </w:tcPr>
          <w:p w:rsidR="007D4226" w:rsidRDefault="00C552C3"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:rsidR="007D4226" w:rsidRDefault="00C552C3">
            <w:r>
              <w:t>03 October 2026</w:t>
            </w:r>
          </w:p>
        </w:tc>
      </w:tr>
      <w:tr w:rsidR="007D4226">
        <w:trPr>
          <w:trHeight w:val="400"/>
        </w:trPr>
        <w:tc>
          <w:tcPr>
            <w:tcW w:w="2160" w:type="dxa"/>
          </w:tcPr>
          <w:p w:rsidR="007D4226" w:rsidRDefault="00C552C3"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:rsidR="007D4226" w:rsidRDefault="00C552C3">
            <w:r>
              <w:t>SWTID-2026-7684</w:t>
            </w:r>
          </w:p>
        </w:tc>
      </w:tr>
      <w:tr w:rsidR="007D4226">
        <w:trPr>
          <w:trHeight w:val="399"/>
        </w:trPr>
        <w:tc>
          <w:tcPr>
            <w:tcW w:w="2160" w:type="dxa"/>
          </w:tcPr>
          <w:p w:rsidR="007D4226" w:rsidRDefault="00C552C3"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:rsidR="007D4226" w:rsidRDefault="00C552C3">
            <w:proofErr w:type="spellStart"/>
            <w:r>
              <w:t>PocketSmart</w:t>
            </w:r>
            <w:proofErr w:type="spellEnd"/>
            <w:r>
              <w:t xml:space="preserve"> AI – Smart Budget &amp; Recommendation Assistant</w:t>
            </w:r>
          </w:p>
        </w:tc>
      </w:tr>
      <w:tr w:rsidR="007D4226">
        <w:trPr>
          <w:trHeight w:val="420"/>
        </w:trPr>
        <w:tc>
          <w:tcPr>
            <w:tcW w:w="2160" w:type="dxa"/>
          </w:tcPr>
          <w:p w:rsidR="007D4226" w:rsidRDefault="00C552C3"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:rsidR="007D4226" w:rsidRDefault="00C552C3">
            <w:r>
              <w:t>5 Marks</w:t>
            </w:r>
          </w:p>
        </w:tc>
      </w:tr>
    </w:tbl>
    <w:p w:rsidR="007D4226" w:rsidRDefault="007D4226">
      <w:pPr>
        <w:pStyle w:val="BodyText"/>
        <w:spacing w:before="131"/>
        <w:rPr>
          <w:rFonts w:ascii="Arial"/>
          <w:b/>
          <w:sz w:val="26"/>
        </w:rPr>
      </w:pPr>
    </w:p>
    <w:p w:rsidR="007D4226" w:rsidRDefault="00C552C3">
      <w:pPr>
        <w:pStyle w:val="Heading2"/>
        <w:spacing w:before="1"/>
      </w:pPr>
      <w:bookmarkStart w:id="0" w:name="Performance_Testing_"/>
      <w:bookmarkEnd w:id="0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:rsidR="007D4226" w:rsidRDefault="00C552C3">
      <w:pPr>
        <w:pStyle w:val="BodyText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:rsidR="007D4226" w:rsidRDefault="007D4226">
      <w:pPr>
        <w:pStyle w:val="BodyText"/>
      </w:pPr>
    </w:p>
    <w:p w:rsidR="007D4226" w:rsidRDefault="007D4226">
      <w:pPr>
        <w:pStyle w:val="BodyText"/>
        <w:spacing w:before="64"/>
      </w:pPr>
    </w:p>
    <w:p w:rsidR="007D4226" w:rsidRDefault="00C552C3">
      <w:pPr>
        <w:pStyle w:val="Heading2"/>
        <w:spacing w:before="1"/>
      </w:pPr>
      <w:bookmarkStart w:id="1" w:name="Step_1:_Testing_Overview_"/>
      <w:bookmarkEnd w:id="1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:rsidR="007D4226" w:rsidRDefault="007D4226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7D4226">
        <w:trPr>
          <w:trHeight w:val="400"/>
        </w:trPr>
        <w:tc>
          <w:tcPr>
            <w:tcW w:w="3120" w:type="dxa"/>
          </w:tcPr>
          <w:p w:rsidR="007D4226" w:rsidRDefault="00C552C3"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:rsidR="007D4226" w:rsidRDefault="00C552C3"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7D4226">
        <w:trPr>
          <w:trHeight w:val="420"/>
        </w:trPr>
        <w:tc>
          <w:tcPr>
            <w:tcW w:w="3120" w:type="dxa"/>
          </w:tcPr>
          <w:p w:rsidR="007D4226" w:rsidRDefault="00C552C3"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:rsidR="007D4226" w:rsidRDefault="00C552C3">
            <w:r>
              <w:t>Manual browser testing, Flask API smoke testing, and demo-video verification</w:t>
            </w:r>
          </w:p>
        </w:tc>
      </w:tr>
      <w:tr w:rsidR="007D4226">
        <w:trPr>
          <w:trHeight w:val="399"/>
        </w:trPr>
        <w:tc>
          <w:tcPr>
            <w:tcW w:w="3120" w:type="dxa"/>
          </w:tcPr>
          <w:p w:rsidR="007D4226" w:rsidRDefault="00C552C3"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:rsidR="007D4226" w:rsidRDefault="00C552C3">
            <w:r>
              <w:t>Functional smoke testing with basic local response-time observation</w:t>
            </w:r>
          </w:p>
        </w:tc>
      </w:tr>
      <w:tr w:rsidR="007D4226">
        <w:trPr>
          <w:trHeight w:val="400"/>
        </w:trPr>
        <w:tc>
          <w:tcPr>
            <w:tcW w:w="3120" w:type="dxa"/>
          </w:tcPr>
          <w:p w:rsidR="007D4226" w:rsidRDefault="00C552C3"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:rsidR="007D4226" w:rsidRDefault="00C552C3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/*, /</w:t>
            </w:r>
            <w:proofErr w:type="spellStart"/>
            <w:r>
              <w:t>api</w:t>
            </w:r>
            <w:proofErr w:type="spellEnd"/>
            <w:r>
              <w:t>/budget, /</w:t>
            </w:r>
            <w:proofErr w:type="spellStart"/>
            <w:r>
              <w:t>api</w:t>
            </w:r>
            <w:proofErr w:type="spellEnd"/>
            <w:r>
              <w:t>/transactions, /</w:t>
            </w:r>
            <w:proofErr w:type="spellStart"/>
            <w:r>
              <w:t>api</w:t>
            </w:r>
            <w:proofErr w:type="spellEnd"/>
            <w:r>
              <w:t>/summary,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ai</w:t>
            </w:r>
            <w:proofErr w:type="spellEnd"/>
            <w:r>
              <w:t>/* and React dashboard flows</w:t>
            </w:r>
          </w:p>
        </w:tc>
      </w:tr>
      <w:tr w:rsidR="007D4226">
        <w:trPr>
          <w:trHeight w:val="400"/>
        </w:trPr>
        <w:tc>
          <w:tcPr>
            <w:tcW w:w="3120" w:type="dxa"/>
          </w:tcPr>
          <w:p w:rsidR="007D4226" w:rsidRDefault="00C552C3"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:rsidR="007D4226" w:rsidRDefault="00C552C3">
            <w:r>
              <w:t xml:space="preserve">Local Flask backend + </w:t>
            </w:r>
            <w:proofErr w:type="spellStart"/>
            <w:r>
              <w:t>Vite</w:t>
            </w:r>
            <w:proofErr w:type="spellEnd"/>
            <w:r>
              <w:t xml:space="preserve"> React frontend + SQLite fallback; Gemini API enabled for AI screens</w:t>
            </w:r>
          </w:p>
        </w:tc>
      </w:tr>
      <w:tr w:rsidR="007D4226">
        <w:trPr>
          <w:trHeight w:val="659"/>
        </w:trPr>
        <w:tc>
          <w:tcPr>
            <w:tcW w:w="3120" w:type="dxa"/>
          </w:tcPr>
          <w:p w:rsidR="007D4226" w:rsidRDefault="00C552C3"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:rsidR="007D4226" w:rsidRDefault="00C552C3">
            <w:r>
              <w:t>03 October 2026</w:t>
            </w:r>
          </w:p>
        </w:tc>
      </w:tr>
    </w:tbl>
    <w:p w:rsidR="007D4226" w:rsidRDefault="007D4226">
      <w:pPr>
        <w:pStyle w:val="BodyText"/>
        <w:spacing w:before="203"/>
        <w:rPr>
          <w:rFonts w:ascii="Arial"/>
          <w:b/>
        </w:rPr>
      </w:pPr>
    </w:p>
    <w:p w:rsidR="007D4226" w:rsidRDefault="00C552C3">
      <w:pPr>
        <w:pStyle w:val="Heading2"/>
      </w:pPr>
      <w:bookmarkStart w:id="2" w:name="Step_2:_Test_Scenarios_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:rsidR="007D4226" w:rsidRDefault="007D4226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7D4226">
        <w:trPr>
          <w:trHeight w:val="659"/>
        </w:trPr>
        <w:tc>
          <w:tcPr>
            <w:tcW w:w="840" w:type="dxa"/>
          </w:tcPr>
          <w:p w:rsidR="007D4226" w:rsidRDefault="00C552C3"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2640" w:type="dxa"/>
          </w:tcPr>
          <w:p w:rsidR="007D4226" w:rsidRDefault="00C552C3">
            <w:pPr>
              <w:pStyle w:val="TableParagraph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:rsidR="007D4226" w:rsidRDefault="00C552C3">
            <w:pPr>
              <w:pStyle w:val="TableParagraph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:rsidR="007D4226" w:rsidRDefault="00C552C3"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:rsidR="007D4226" w:rsidRDefault="00C552C3"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:rsidR="007D4226">
        <w:trPr>
          <w:trHeight w:val="660"/>
        </w:trPr>
        <w:tc>
          <w:tcPr>
            <w:tcW w:w="840" w:type="dxa"/>
          </w:tcPr>
          <w:p w:rsidR="007D4226" w:rsidRDefault="00C552C3">
            <w:r>
              <w:t>1</w:t>
            </w:r>
          </w:p>
        </w:tc>
        <w:tc>
          <w:tcPr>
            <w:tcW w:w="2640" w:type="dxa"/>
          </w:tcPr>
          <w:p w:rsidR="007D4226" w:rsidRDefault="00C552C3">
            <w:r>
              <w:t>Register/login and load protected dashboard</w:t>
            </w:r>
          </w:p>
        </w:tc>
        <w:tc>
          <w:tcPr>
            <w:tcW w:w="1740" w:type="dxa"/>
          </w:tcPr>
          <w:p w:rsidR="007D4226" w:rsidRDefault="00C552C3">
            <w:r>
              <w:t>1</w:t>
            </w:r>
          </w:p>
        </w:tc>
        <w:tc>
          <w:tcPr>
            <w:tcW w:w="1780" w:type="dxa"/>
          </w:tcPr>
          <w:p w:rsidR="007D4226" w:rsidRDefault="00C552C3">
            <w:r>
              <w:t>10</w:t>
            </w:r>
          </w:p>
        </w:tc>
        <w:tc>
          <w:tcPr>
            <w:tcW w:w="2360" w:type="dxa"/>
          </w:tcPr>
          <w:p w:rsidR="007D4226" w:rsidRDefault="00C552C3">
            <w:r>
              <w:t>Account is created or authenticated and the dashboard loads successfully.</w:t>
            </w:r>
          </w:p>
        </w:tc>
      </w:tr>
      <w:tr w:rsidR="007D4226">
        <w:trPr>
          <w:trHeight w:val="640"/>
        </w:trPr>
        <w:tc>
          <w:tcPr>
            <w:tcW w:w="840" w:type="dxa"/>
          </w:tcPr>
          <w:p w:rsidR="007D4226" w:rsidRDefault="00C552C3">
            <w:r>
              <w:t>2</w:t>
            </w:r>
          </w:p>
        </w:tc>
        <w:tc>
          <w:tcPr>
            <w:tcW w:w="2640" w:type="dxa"/>
          </w:tcPr>
          <w:p w:rsidR="007D4226" w:rsidRDefault="00C552C3">
            <w:r>
              <w:t>Add income/expense, save budget, and refresh summary</w:t>
            </w:r>
          </w:p>
        </w:tc>
        <w:tc>
          <w:tcPr>
            <w:tcW w:w="1740" w:type="dxa"/>
          </w:tcPr>
          <w:p w:rsidR="007D4226" w:rsidRDefault="00C552C3">
            <w:r>
              <w:t>1</w:t>
            </w:r>
          </w:p>
        </w:tc>
        <w:tc>
          <w:tcPr>
            <w:tcW w:w="1780" w:type="dxa"/>
          </w:tcPr>
          <w:p w:rsidR="007D4226" w:rsidRDefault="00C552C3">
            <w:r>
              <w:t>20</w:t>
            </w:r>
          </w:p>
        </w:tc>
        <w:tc>
          <w:tcPr>
            <w:tcW w:w="2360" w:type="dxa"/>
          </w:tcPr>
          <w:p w:rsidR="007D4226" w:rsidRDefault="00C552C3">
            <w:r>
              <w:t>Transaction is stored; income, expense, savings, budget percentage, and category totals update.</w:t>
            </w:r>
          </w:p>
        </w:tc>
      </w:tr>
      <w:tr w:rsidR="007D4226">
        <w:trPr>
          <w:trHeight w:val="640"/>
        </w:trPr>
        <w:tc>
          <w:tcPr>
            <w:tcW w:w="840" w:type="dxa"/>
          </w:tcPr>
          <w:p w:rsidR="007D4226" w:rsidRDefault="00C552C3">
            <w:r>
              <w:t>3</w:t>
            </w:r>
          </w:p>
        </w:tc>
        <w:tc>
          <w:tcPr>
            <w:tcW w:w="2640" w:type="dxa"/>
          </w:tcPr>
          <w:p w:rsidR="007D4226" w:rsidRDefault="00C552C3">
            <w:r>
              <w:t>Open AI Insights and request analysis/recommendations</w:t>
            </w:r>
          </w:p>
        </w:tc>
        <w:tc>
          <w:tcPr>
            <w:tcW w:w="1740" w:type="dxa"/>
          </w:tcPr>
          <w:p w:rsidR="007D4226" w:rsidRDefault="00C552C3">
            <w:r>
              <w:t>1</w:t>
            </w:r>
          </w:p>
        </w:tc>
        <w:tc>
          <w:tcPr>
            <w:tcW w:w="1780" w:type="dxa"/>
          </w:tcPr>
          <w:p w:rsidR="007D4226" w:rsidRDefault="00C552C3">
            <w:r>
              <w:t>30</w:t>
            </w:r>
          </w:p>
        </w:tc>
        <w:tc>
          <w:tcPr>
            <w:tcW w:w="2360" w:type="dxa"/>
          </w:tcPr>
          <w:p w:rsidR="007D4226" w:rsidRDefault="00C552C3">
            <w:r>
              <w:t>Gemini response is displayed; if the key</w:t>
            </w:r>
            <w:r>
              <w:t>/network is unavailable, a readable error is shown.</w:t>
            </w:r>
          </w:p>
        </w:tc>
      </w:tr>
      <w:tr w:rsidR="007D4226">
        <w:trPr>
          <w:trHeight w:val="640"/>
        </w:trPr>
        <w:tc>
          <w:tcPr>
            <w:tcW w:w="840" w:type="dxa"/>
          </w:tcPr>
          <w:p w:rsidR="007D4226" w:rsidRDefault="00C552C3">
            <w:r>
              <w:t>4</w:t>
            </w:r>
          </w:p>
        </w:tc>
        <w:tc>
          <w:tcPr>
            <w:tcW w:w="2640" w:type="dxa"/>
          </w:tcPr>
          <w:p w:rsidR="007D4226" w:rsidRDefault="00C552C3">
            <w:r>
              <w:t xml:space="preserve">Open Finance </w:t>
            </w:r>
            <w:proofErr w:type="spellStart"/>
            <w:r>
              <w:t>Chatbot</w:t>
            </w:r>
            <w:proofErr w:type="spellEnd"/>
            <w:r>
              <w:t>, send a finance question, and render reply</w:t>
            </w:r>
          </w:p>
        </w:tc>
        <w:tc>
          <w:tcPr>
            <w:tcW w:w="1740" w:type="dxa"/>
          </w:tcPr>
          <w:p w:rsidR="007D4226" w:rsidRDefault="00C552C3">
            <w:r>
              <w:t>1</w:t>
            </w:r>
          </w:p>
        </w:tc>
        <w:tc>
          <w:tcPr>
            <w:tcW w:w="1780" w:type="dxa"/>
          </w:tcPr>
          <w:p w:rsidR="007D4226" w:rsidRDefault="00C552C3">
            <w:r>
              <w:t>30</w:t>
            </w:r>
          </w:p>
        </w:tc>
        <w:tc>
          <w:tcPr>
            <w:tcW w:w="2360" w:type="dxa"/>
          </w:tcPr>
          <w:p w:rsidR="007D4226" w:rsidRDefault="00C552C3">
            <w:r>
              <w:t xml:space="preserve">Question and assistant response appear in the chat history without UI </w:t>
            </w:r>
            <w:r>
              <w:lastRenderedPageBreak/>
              <w:t>crash.</w:t>
            </w:r>
          </w:p>
        </w:tc>
      </w:tr>
    </w:tbl>
    <w:p w:rsidR="007D4226" w:rsidRDefault="007D4226">
      <w:pPr>
        <w:pStyle w:val="TableParagraph"/>
        <w:rPr>
          <w:rFonts w:ascii="Times New Roman"/>
          <w:sz w:val="20"/>
        </w:rPr>
        <w:sectPr w:rsidR="007D4226">
          <w:headerReference w:type="default" r:id="rId6"/>
          <w:type w:val="continuous"/>
          <w:pgSz w:w="12240" w:h="15840"/>
          <w:pgMar w:top="1760" w:right="1440" w:bottom="280" w:left="1080" w:header="0" w:footer="0" w:gutter="0"/>
          <w:pgNumType w:start="1"/>
          <w:cols w:space="720"/>
        </w:sectPr>
      </w:pPr>
    </w:p>
    <w:p w:rsidR="007D4226" w:rsidRDefault="00C552C3">
      <w:pPr>
        <w:pStyle w:val="Heading2"/>
        <w:spacing w:before="83"/>
      </w:pPr>
      <w:bookmarkStart w:id="3" w:name="Step_3:_Performance_Test_Results_"/>
      <w:bookmarkEnd w:id="3"/>
      <w:r>
        <w:lastRenderedPageBreak/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:rsidR="007D4226" w:rsidRDefault="007D4226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7D4226">
        <w:trPr>
          <w:trHeight w:val="640"/>
        </w:trPr>
        <w:tc>
          <w:tcPr>
            <w:tcW w:w="800" w:type="dxa"/>
          </w:tcPr>
          <w:p w:rsidR="007D4226" w:rsidRDefault="00C552C3"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2100" w:type="dxa"/>
          </w:tcPr>
          <w:p w:rsidR="007D4226" w:rsidRDefault="00C552C3"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:rsidR="007D4226" w:rsidRDefault="00C552C3"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:rsidR="007D4226" w:rsidRDefault="00C552C3"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:rsidR="007D4226" w:rsidRDefault="00C552C3">
            <w:pPr>
              <w:pStyle w:val="TableParagraph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:rsidR="007D4226" w:rsidRDefault="00C552C3"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7D4226">
        <w:trPr>
          <w:trHeight w:val="680"/>
        </w:trPr>
        <w:tc>
          <w:tcPr>
            <w:tcW w:w="800" w:type="dxa"/>
          </w:tcPr>
          <w:p w:rsidR="007D4226" w:rsidRDefault="00C552C3">
            <w:r>
              <w:t>1</w:t>
            </w:r>
          </w:p>
        </w:tc>
        <w:tc>
          <w:tcPr>
            <w:tcW w:w="2100" w:type="dxa"/>
          </w:tcPr>
          <w:p w:rsidR="007D4226" w:rsidRDefault="00C552C3">
            <w:r>
              <w:t>Response Time (</w:t>
            </w:r>
            <w:proofErr w:type="spellStart"/>
            <w:r>
              <w:t>Avg</w:t>
            </w:r>
            <w:proofErr w:type="spellEnd"/>
            <w:r>
              <w:t>)</w:t>
            </w:r>
          </w:p>
        </w:tc>
        <w:tc>
          <w:tcPr>
            <w:tcW w:w="1560" w:type="dxa"/>
          </w:tcPr>
          <w:p w:rsidR="007D4226" w:rsidRDefault="00C552C3">
            <w:r>
              <w:t>&lt; 2 seconds</w:t>
            </w:r>
          </w:p>
        </w:tc>
        <w:tc>
          <w:tcPr>
            <w:tcW w:w="1520" w:type="dxa"/>
          </w:tcPr>
          <w:p w:rsidR="007D4226" w:rsidRDefault="00C552C3">
            <w:r>
              <w:t>Within target for local CRUD/dashboard actions</w:t>
            </w:r>
          </w:p>
        </w:tc>
        <w:tc>
          <w:tcPr>
            <w:tcW w:w="1640" w:type="dxa"/>
          </w:tcPr>
          <w:p w:rsidR="007D4226" w:rsidRDefault="00C552C3">
            <w:r>
              <w:t>Pass</w:t>
            </w:r>
          </w:p>
        </w:tc>
        <w:tc>
          <w:tcPr>
            <w:tcW w:w="1740" w:type="dxa"/>
          </w:tcPr>
          <w:p w:rsidR="007D4226" w:rsidRDefault="00C552C3">
            <w:r>
              <w:t>Observed during the supplied local demo; Gemini calls are external and variable.</w:t>
            </w:r>
          </w:p>
        </w:tc>
      </w:tr>
      <w:tr w:rsidR="007D4226">
        <w:trPr>
          <w:trHeight w:val="659"/>
        </w:trPr>
        <w:tc>
          <w:tcPr>
            <w:tcW w:w="800" w:type="dxa"/>
          </w:tcPr>
          <w:p w:rsidR="007D4226" w:rsidRDefault="00C552C3">
            <w:r>
              <w:t>2</w:t>
            </w:r>
          </w:p>
        </w:tc>
        <w:tc>
          <w:tcPr>
            <w:tcW w:w="2100" w:type="dxa"/>
          </w:tcPr>
          <w:p w:rsidR="007D4226" w:rsidRDefault="00C552C3">
            <w:r>
              <w:t>Response Time (Max)</w:t>
            </w:r>
          </w:p>
        </w:tc>
        <w:tc>
          <w:tcPr>
            <w:tcW w:w="1560" w:type="dxa"/>
          </w:tcPr>
          <w:p w:rsidR="007D4226" w:rsidRDefault="00C552C3">
            <w:r>
              <w:t>&lt; 5 seconds</w:t>
            </w:r>
          </w:p>
        </w:tc>
        <w:tc>
          <w:tcPr>
            <w:tcW w:w="1520" w:type="dxa"/>
          </w:tcPr>
          <w:p w:rsidR="007D4226" w:rsidRDefault="00C552C3">
            <w:r>
              <w:t>Within target for ordinary local UI/API actions; Gemini may take longer</w:t>
            </w:r>
          </w:p>
        </w:tc>
        <w:tc>
          <w:tcPr>
            <w:tcW w:w="1640" w:type="dxa"/>
          </w:tcPr>
          <w:p w:rsidR="007D4226" w:rsidRDefault="00C552C3">
            <w:r>
              <w:t>Pass / Note</w:t>
            </w:r>
          </w:p>
        </w:tc>
        <w:tc>
          <w:tcPr>
            <w:tcW w:w="1740" w:type="dxa"/>
          </w:tcPr>
          <w:p w:rsidR="007D4226" w:rsidRDefault="00C552C3">
            <w:r>
              <w:t>External AI latency depends on network and API availability.</w:t>
            </w:r>
          </w:p>
        </w:tc>
      </w:tr>
      <w:tr w:rsidR="007D4226">
        <w:trPr>
          <w:trHeight w:val="680"/>
        </w:trPr>
        <w:tc>
          <w:tcPr>
            <w:tcW w:w="800" w:type="dxa"/>
          </w:tcPr>
          <w:p w:rsidR="007D4226" w:rsidRDefault="00C552C3">
            <w:r>
              <w:t>3</w:t>
            </w:r>
          </w:p>
        </w:tc>
        <w:tc>
          <w:tcPr>
            <w:tcW w:w="2100" w:type="dxa"/>
          </w:tcPr>
          <w:p w:rsidR="007D4226" w:rsidRDefault="00C552C3">
            <w:r>
              <w:t>Throughput (</w:t>
            </w:r>
            <w:proofErr w:type="spellStart"/>
            <w:r>
              <w:t>Req</w:t>
            </w:r>
            <w:proofErr w:type="spellEnd"/>
            <w:r>
              <w:t>/sec)</w:t>
            </w:r>
          </w:p>
        </w:tc>
        <w:tc>
          <w:tcPr>
            <w:tcW w:w="1560" w:type="dxa"/>
          </w:tcPr>
          <w:p w:rsidR="007D4226" w:rsidRDefault="00C552C3">
            <w:r>
              <w:t>Single-user demo flow</w:t>
            </w:r>
          </w:p>
        </w:tc>
        <w:tc>
          <w:tcPr>
            <w:tcW w:w="1520" w:type="dxa"/>
          </w:tcPr>
          <w:p w:rsidR="007D4226" w:rsidRDefault="00C552C3">
            <w:r>
              <w:t>Not load-tested</w:t>
            </w:r>
          </w:p>
        </w:tc>
        <w:tc>
          <w:tcPr>
            <w:tcW w:w="1640" w:type="dxa"/>
          </w:tcPr>
          <w:p w:rsidR="007D4226" w:rsidRDefault="00C552C3">
            <w:r>
              <w:t>N/A</w:t>
            </w:r>
          </w:p>
        </w:tc>
        <w:tc>
          <w:tcPr>
            <w:tcW w:w="1740" w:type="dxa"/>
          </w:tcPr>
          <w:p w:rsidR="007D4226" w:rsidRDefault="00C552C3">
            <w:r>
              <w:t xml:space="preserve">A dedicated </w:t>
            </w:r>
            <w:proofErr w:type="spellStart"/>
            <w:r>
              <w:t>JMeter</w:t>
            </w:r>
            <w:proofErr w:type="spellEnd"/>
            <w:r>
              <w:t>/Locust run is not included in the repository.</w:t>
            </w:r>
          </w:p>
        </w:tc>
      </w:tr>
      <w:tr w:rsidR="007D4226">
        <w:trPr>
          <w:trHeight w:val="640"/>
        </w:trPr>
        <w:tc>
          <w:tcPr>
            <w:tcW w:w="800" w:type="dxa"/>
          </w:tcPr>
          <w:p w:rsidR="007D4226" w:rsidRDefault="00C552C3">
            <w:r>
              <w:t>4</w:t>
            </w:r>
          </w:p>
        </w:tc>
        <w:tc>
          <w:tcPr>
            <w:tcW w:w="2100" w:type="dxa"/>
          </w:tcPr>
          <w:p w:rsidR="007D4226" w:rsidRDefault="00C552C3">
            <w:r>
              <w:t>Error Rate</w:t>
            </w:r>
          </w:p>
        </w:tc>
        <w:tc>
          <w:tcPr>
            <w:tcW w:w="1560" w:type="dxa"/>
          </w:tcPr>
          <w:p w:rsidR="007D4226" w:rsidRDefault="00C552C3">
            <w:r>
              <w:t>&lt; 1%</w:t>
            </w:r>
          </w:p>
        </w:tc>
        <w:tc>
          <w:tcPr>
            <w:tcW w:w="1520" w:type="dxa"/>
          </w:tcPr>
          <w:p w:rsidR="007D4226" w:rsidRDefault="00C552C3">
            <w:r>
              <w:t>No critical errors observed in the demo flow</w:t>
            </w:r>
          </w:p>
        </w:tc>
        <w:tc>
          <w:tcPr>
            <w:tcW w:w="1640" w:type="dxa"/>
          </w:tcPr>
          <w:p w:rsidR="007D4226" w:rsidRDefault="00C552C3">
            <w:r>
              <w:t>Pass</w:t>
            </w:r>
          </w:p>
        </w:tc>
        <w:tc>
          <w:tcPr>
            <w:tcW w:w="1740" w:type="dxa"/>
          </w:tcPr>
          <w:p w:rsidR="007D4226" w:rsidRDefault="00C552C3">
            <w:r>
              <w:t>Input validation and readable API error handling are implemented.</w:t>
            </w:r>
          </w:p>
        </w:tc>
      </w:tr>
      <w:tr w:rsidR="007D4226">
        <w:trPr>
          <w:trHeight w:val="640"/>
        </w:trPr>
        <w:tc>
          <w:tcPr>
            <w:tcW w:w="800" w:type="dxa"/>
          </w:tcPr>
          <w:p w:rsidR="007D4226" w:rsidRDefault="00C552C3">
            <w:r>
              <w:t>5</w:t>
            </w:r>
          </w:p>
        </w:tc>
        <w:tc>
          <w:tcPr>
            <w:tcW w:w="2100" w:type="dxa"/>
          </w:tcPr>
          <w:p w:rsidR="007D4226" w:rsidRDefault="00C552C3">
            <w:r>
              <w:t>CPU Utilization</w:t>
            </w:r>
          </w:p>
        </w:tc>
        <w:tc>
          <w:tcPr>
            <w:tcW w:w="1560" w:type="dxa"/>
          </w:tcPr>
          <w:p w:rsidR="007D4226" w:rsidRDefault="00C552C3">
            <w:r>
              <w:t>&lt; 80%</w:t>
            </w:r>
          </w:p>
        </w:tc>
        <w:tc>
          <w:tcPr>
            <w:tcW w:w="1520" w:type="dxa"/>
          </w:tcPr>
          <w:p w:rsidR="007D4226" w:rsidRDefault="00C552C3">
            <w:r>
              <w:t>Not instrumented</w:t>
            </w:r>
          </w:p>
        </w:tc>
        <w:tc>
          <w:tcPr>
            <w:tcW w:w="1640" w:type="dxa"/>
          </w:tcPr>
          <w:p w:rsidR="007D4226" w:rsidRDefault="00C552C3">
            <w:r>
              <w:t>N/A</w:t>
            </w:r>
          </w:p>
        </w:tc>
        <w:tc>
          <w:tcPr>
            <w:tcW w:w="1740" w:type="dxa"/>
          </w:tcPr>
          <w:p w:rsidR="007D4226" w:rsidRDefault="00C552C3">
            <w:r>
              <w:t>Add server monitoring before production deployment.</w:t>
            </w:r>
          </w:p>
        </w:tc>
      </w:tr>
      <w:tr w:rsidR="007D4226">
        <w:trPr>
          <w:trHeight w:val="660"/>
        </w:trPr>
        <w:tc>
          <w:tcPr>
            <w:tcW w:w="800" w:type="dxa"/>
          </w:tcPr>
          <w:p w:rsidR="007D4226" w:rsidRDefault="00C552C3">
            <w:r>
              <w:t>6</w:t>
            </w:r>
          </w:p>
        </w:tc>
        <w:tc>
          <w:tcPr>
            <w:tcW w:w="2100" w:type="dxa"/>
          </w:tcPr>
          <w:p w:rsidR="007D4226" w:rsidRDefault="00C552C3">
            <w:r>
              <w:t>Memory Utilization</w:t>
            </w:r>
          </w:p>
        </w:tc>
        <w:tc>
          <w:tcPr>
            <w:tcW w:w="1560" w:type="dxa"/>
          </w:tcPr>
          <w:p w:rsidR="007D4226" w:rsidRDefault="00C552C3">
            <w:r>
              <w:t>&lt; 80%</w:t>
            </w:r>
          </w:p>
        </w:tc>
        <w:tc>
          <w:tcPr>
            <w:tcW w:w="1520" w:type="dxa"/>
          </w:tcPr>
          <w:p w:rsidR="007D4226" w:rsidRDefault="00C552C3">
            <w:r>
              <w:t>Not instrumented</w:t>
            </w:r>
          </w:p>
        </w:tc>
        <w:tc>
          <w:tcPr>
            <w:tcW w:w="1640" w:type="dxa"/>
          </w:tcPr>
          <w:p w:rsidR="007D4226" w:rsidRDefault="00C552C3">
            <w:r>
              <w:t>N/A</w:t>
            </w:r>
          </w:p>
        </w:tc>
        <w:tc>
          <w:tcPr>
            <w:tcW w:w="1740" w:type="dxa"/>
          </w:tcPr>
          <w:p w:rsidR="007D4226" w:rsidRDefault="00C552C3">
            <w:r>
              <w:t>Add server monitoring before production deployment.</w:t>
            </w:r>
          </w:p>
        </w:tc>
      </w:tr>
    </w:tbl>
    <w:p w:rsidR="007D4226" w:rsidRDefault="007D4226">
      <w:pPr>
        <w:pStyle w:val="BodyText"/>
        <w:spacing w:before="200"/>
        <w:rPr>
          <w:rFonts w:ascii="Arial"/>
          <w:b/>
        </w:rPr>
      </w:pPr>
    </w:p>
    <w:p w:rsidR="007D4226" w:rsidRDefault="00C552C3">
      <w:pPr>
        <w:pStyle w:val="Heading2"/>
      </w:pPr>
      <w:bookmarkStart w:id="4" w:name="Step_4:_Observations_&amp;_Analysis_"/>
      <w:bookmarkEnd w:id="4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:rsidR="007D4226" w:rsidRDefault="00C552C3">
      <w:pPr>
        <w:pStyle w:val="BodyText"/>
        <w:spacing w:before="4"/>
        <w:rPr>
          <w:rFonts w:ascii="Arial"/>
          <w:b/>
          <w:sz w:val="8"/>
        </w:rPr>
      </w:pPr>
      <w:r>
        <w:t>Key Findings</w:t>
      </w:r>
      <w:proofErr w:type="gramStart"/>
      <w:r>
        <w:t>:</w:t>
      </w:r>
      <w:proofErr w:type="gramEnd"/>
      <w:r>
        <w:br/>
      </w:r>
      <w:proofErr w:type="spellStart"/>
      <w:r>
        <w:t>PocketSmart</w:t>
      </w:r>
      <w:proofErr w:type="spellEnd"/>
      <w:r>
        <w:t xml:space="preserve"> AI performed smoothly for the single-user demonstration flow. Local authentication, budget updates, transaction creation, summary refresh, category visualization, and tab navigation were responsive. The dashboard correctly displayed income, exp</w:t>
      </w:r>
      <w:r>
        <w:t xml:space="preserve">enses, savings, budget usage, and category totals. Gemini analysis, recommendation, and </w:t>
      </w:r>
      <w:proofErr w:type="spellStart"/>
      <w:r>
        <w:t>chatbot</w:t>
      </w:r>
      <w:proofErr w:type="spellEnd"/>
      <w:r>
        <w:t xml:space="preserve"> features depend on external API/network latency.</w:t>
      </w:r>
      <w:r>
        <w:br/>
      </w:r>
      <w:r>
        <w:br/>
        <w:t>Bottlenecks Identified</w:t>
      </w:r>
      <w:proofErr w:type="gramStart"/>
      <w:r>
        <w:t>:</w:t>
      </w:r>
      <w:proofErr w:type="gramEnd"/>
      <w:r>
        <w:br/>
        <w:t>The main variable is Gemini response time because it depends on the external API and n</w:t>
      </w:r>
      <w:r>
        <w:t>etwork. SQLite is appropriate for local evaluation but is not the preferred database for high-concurrency production use. CPU, memory, throughput, and percentile latency were not instrumented in this functional test.</w:t>
      </w:r>
      <w:r>
        <w:br/>
      </w:r>
      <w:r>
        <w:br/>
        <w:t>Optimization Steps Taken</w:t>
      </w:r>
      <w:proofErr w:type="gramStart"/>
      <w:r>
        <w:t>:</w:t>
      </w:r>
      <w:proofErr w:type="gramEnd"/>
      <w:r>
        <w:br/>
        <w:t xml:space="preserve">The backend </w:t>
      </w:r>
      <w:r>
        <w:t xml:space="preserve">uses modular routes, user-scoped database queries, lightweight summary aggregation, and a SQLite fallback for quick setup. The frontend separates </w:t>
      </w:r>
      <w:proofErr w:type="spellStart"/>
      <w:r>
        <w:t>Auth</w:t>
      </w:r>
      <w:proofErr w:type="spellEnd"/>
      <w:r>
        <w:t xml:space="preserve">, Dashboard, </w:t>
      </w:r>
      <w:proofErr w:type="spellStart"/>
      <w:r>
        <w:t>AiPanel</w:t>
      </w:r>
      <w:proofErr w:type="spellEnd"/>
      <w:r>
        <w:t xml:space="preserve">, and </w:t>
      </w:r>
      <w:proofErr w:type="spellStart"/>
      <w:r>
        <w:t>Chatbot</w:t>
      </w:r>
      <w:proofErr w:type="spellEnd"/>
      <w:r>
        <w:t xml:space="preserve"> components. For production, use </w:t>
      </w:r>
      <w:proofErr w:type="spellStart"/>
      <w:r>
        <w:t>PostgreSQL</w:t>
      </w:r>
      <w:proofErr w:type="spellEnd"/>
      <w:r>
        <w:t>, a WSGI server, connection po</w:t>
      </w:r>
      <w:r>
        <w:t>oling, rate limiting, caching where appropriate, asynchronous AI jobs, and infrastructure monitoring.</w:t>
      </w:r>
    </w:p>
    <w:p w:rsidR="007D4226" w:rsidRDefault="007D4226">
      <w:pPr>
        <w:pStyle w:val="BodyText"/>
        <w:spacing w:before="30"/>
        <w:rPr>
          <w:rFonts w:ascii="Arial"/>
          <w:b/>
        </w:rPr>
      </w:pPr>
    </w:p>
    <w:p w:rsidR="007D4226" w:rsidRDefault="00C552C3">
      <w:pPr>
        <w:pStyle w:val="Heading2"/>
      </w:pPr>
      <w:bookmarkStart w:id="5" w:name="Step_5:_Screenshots_/_Evidence_"/>
      <w:bookmarkEnd w:id="5"/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 w:rsidR="007D4226" w:rsidRDefault="00C552C3">
      <w:pPr>
        <w:pStyle w:val="BodyText"/>
        <w:spacing w:before="135" w:line="276" w:lineRule="auto"/>
      </w:pPr>
      <w:r>
        <w:t xml:space="preserve">The following screenshots are visual evidence extracted from the supplied </w:t>
      </w:r>
      <w:proofErr w:type="spellStart"/>
      <w:r>
        <w:t>PocketSmart</w:t>
      </w:r>
      <w:proofErr w:type="spellEnd"/>
      <w:r>
        <w:t xml:space="preserve"> AI demo video. They demonstrate the </w:t>
      </w:r>
      <w:r>
        <w:t xml:space="preserve">application states used during the functional performance observation; they are not a </w:t>
      </w:r>
      <w:r>
        <w:lastRenderedPageBreak/>
        <w:t>substitute for a dedicated load-test report.</w:t>
      </w:r>
    </w:p>
    <w:p w:rsidR="007D4226" w:rsidRDefault="00C552C3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303520" cy="2786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_07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226" w:rsidRDefault="00C552C3">
      <w:pPr>
        <w:jc w:val="center"/>
      </w:pPr>
      <w:r>
        <w:rPr>
          <w:b/>
          <w:sz w:val="18"/>
        </w:rPr>
        <w:t>Evidence 1 – Dashboard summary cards, monthly budget, transaction form, and category bars.</w:t>
      </w:r>
    </w:p>
    <w:p w:rsidR="007D4226" w:rsidRDefault="00C552C3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303520" cy="27864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_08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226" w:rsidRDefault="00C552C3">
      <w:pPr>
        <w:jc w:val="center"/>
      </w:pPr>
      <w:r>
        <w:rPr>
          <w:b/>
          <w:sz w:val="18"/>
        </w:rPr>
        <w:t>Evidence 2 – Budget progress a</w:t>
      </w:r>
      <w:r>
        <w:rPr>
          <w:b/>
          <w:sz w:val="18"/>
        </w:rPr>
        <w:t>nd spending-by-category visualization.</w:t>
      </w:r>
    </w:p>
    <w:p w:rsidR="007D4226" w:rsidRDefault="00C552C3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303520" cy="2786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_0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226" w:rsidRDefault="00C552C3">
      <w:pPr>
        <w:jc w:val="center"/>
      </w:pPr>
      <w:r>
        <w:rPr>
          <w:b/>
          <w:sz w:val="18"/>
        </w:rPr>
        <w:t>Evidence 3 – Gemini AI Insights panel with recommendation output.</w:t>
      </w:r>
    </w:p>
    <w:p w:rsidR="007D4226" w:rsidRDefault="00C552C3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303520" cy="27864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_1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226" w:rsidRDefault="00C552C3">
      <w:pPr>
        <w:jc w:val="center"/>
      </w:pPr>
      <w:r>
        <w:rPr>
          <w:b/>
          <w:sz w:val="18"/>
        </w:rPr>
        <w:t xml:space="preserve">Evidence 4 – Finance </w:t>
      </w:r>
      <w:proofErr w:type="spellStart"/>
      <w:r>
        <w:rPr>
          <w:b/>
          <w:sz w:val="18"/>
        </w:rPr>
        <w:t>Chatbot</w:t>
      </w:r>
      <w:proofErr w:type="spellEnd"/>
      <w:r>
        <w:rPr>
          <w:b/>
          <w:sz w:val="18"/>
        </w:rPr>
        <w:t xml:space="preserve"> question and assistant response.</w:t>
      </w:r>
    </w:p>
    <w:p w:rsidR="007D4226" w:rsidRDefault="007D4226">
      <w:pPr>
        <w:pStyle w:val="BodyText"/>
        <w:spacing w:before="8"/>
        <w:rPr>
          <w:sz w:val="5"/>
        </w:rPr>
      </w:pPr>
      <w:bookmarkStart w:id="6" w:name="_GoBack"/>
      <w:bookmarkEnd w:id="6"/>
    </w:p>
    <w:sectPr w:rsidR="007D4226">
      <w:pgSz w:w="12240" w:h="15840"/>
      <w:pgMar w:top="176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52C3" w:rsidRDefault="00C552C3">
      <w:r>
        <w:separator/>
      </w:r>
    </w:p>
  </w:endnote>
  <w:endnote w:type="continuationSeparator" w:id="0">
    <w:p w:rsidR="00C552C3" w:rsidRDefault="00C55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52C3" w:rsidRDefault="00C552C3">
      <w:r>
        <w:separator/>
      </w:r>
    </w:p>
  </w:footnote>
  <w:footnote w:type="continuationSeparator" w:id="0">
    <w:p w:rsidR="00C552C3" w:rsidRDefault="00C552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4226" w:rsidRDefault="00C552C3">
    <w:pPr>
      <w:pStyle w:val="BodyText"/>
      <w:spacing w:line="200" w:lineRule="exact"/>
    </w:pPr>
    <w:r>
      <w:rPr>
        <w:noProof/>
        <w:lang w:val="en-IN" w:eastAsia="en-IN"/>
      </w:rPr>
      <w:drawing>
        <wp:anchor distT="0" distB="0" distL="0" distR="0" simplePos="0" relativeHeight="487418368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distT="0" distB="0" distL="0" distR="0" simplePos="0" relativeHeight="487418880" behindDoc="1" locked="0" layoutInCell="1" allowOverlap="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226"/>
    <w:rsid w:val="0029029C"/>
    <w:rsid w:val="007D4226"/>
    <w:rsid w:val="00C552C3"/>
    <w:rsid w:val="00CD2B9E"/>
    <w:rsid w:val="00DD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955D84-F607-4E82-9AE4-6DFF677A2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6.jpg"/><Relationship Id="rId4" Type="http://schemas.openxmlformats.org/officeDocument/2006/relationships/footnotes" Target="footnotes.xml"/><Relationship Id="rId9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4216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creator>aparna</dc:creator>
  <cp:lastModifiedBy>Admin</cp:lastModifiedBy>
  <cp:revision>2</cp:revision>
  <dcterms:created xsi:type="dcterms:W3CDTF">2026-10-03T11:04:00Z</dcterms:created>
  <dcterms:modified xsi:type="dcterms:W3CDTF">2026-10-03T11:04:00Z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