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 w:cs="Times New Roman"/>
          <w:b/>
          <w:color w:val="007881"/>
          <w:sz w:val="32"/>
        </w:rPr>
        <w:t>Introduction to Deep Learning</w:t>
      </w:r>
    </w:p>
    <w:p>
      <w:pPr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Lecture: 3 hours, practice: 2 hours</w:t>
      </w:r>
    </w:p>
    <w:p>
      <w:pPr>
        <w:spacing w:after="0"/>
        <w:jc w:val="both"/>
      </w:pPr>
      <w:r>
        <w:rPr>
          <w:rFonts w:ascii="Times New Roman" w:hAnsi="Times New Roman" w:cs="Times New Roman"/>
          <w:b w:val="0"/>
          <w:sz w:val="22"/>
        </w:rPr>
        <w:t>5 hours, 4 credits</w:t>
      </w:r>
    </w:p>
    <w:p>
      <w:pPr>
        <w:spacing w:after="200"/>
        <w:jc w:val="both"/>
      </w:pPr>
      <w:r>
        <w:rPr>
          <w:rFonts w:ascii="Times New Roman" w:hAnsi="Times New Roman" w:cs="Times New Roman"/>
          <w:b w:val="0"/>
          <w:sz w:val="22"/>
        </w:rPr>
        <w:t>Prerequisites: Machine Learning 63303, Probability 20021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Objectives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This is the foundation deep-learning course in the program and the bridge to the advanced electives in large language models and computer vision. By the end of the course, students can take a new task, frame it, build a suitable network, train it, diagnose failures, and improve it.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content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exercises, and designed for working with an AI coding assistant.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Student duties and grade components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The course is project- and exercise-based with no written exams. The final grade combines weekly hands-on exercises (40%), a mid-term mini-project (20%), a final project with a short oral defense (35%), and participation (5%).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of lessons</w:t>
      </w:r>
    </w:p>
    <w:p>
      <w:pPr>
        <w:spacing w:after="120"/>
        <w:jc w:val="both"/>
      </w:pPr>
      <w:r>
        <w:rPr>
          <w:rFonts w:ascii="Times New Roman" w:hAnsi="Times New Roman" w:cs="Times New Roman"/>
          <w:b w:val="0"/>
          <w:sz w:val="22"/>
        </w:rPr>
        <w:t>Each week combines a 3-hour lecture (slides, worked examples, and live code demonstrations) with a 2-hour practice lab in which students implement and experiment. Exercises follow a build, predict, and explain model: students may use an AI assistant for the build, but the graded work is predicting outcomes and explaining results.</w:t>
      </w:r>
    </w:p>
    <w:p>
      <w:pPr>
        <w:spacing w:after="80"/>
        <w:jc w:val="both"/>
      </w:pPr>
      <w:r>
        <w:rPr>
          <w:rFonts w:ascii="Times New Roman" w:hAnsi="Times New Roman" w:cs="Times New Roman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Subject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Integration and transfer learning</w:t>
            </w:r>
          </w:p>
        </w:tc>
      </w:tr>
    </w:tbl>
    <w:p>
      <w:pPr>
        <w:spacing w:after="0"/>
        <w:jc w:val="both"/>
      </w:pPr>
      <w:r>
        <w:rPr>
          <w:rFonts w:ascii="Times New Roman" w:hAnsi="Times New Roman" w:cs="Times New Roman"/>
          <w:b w:val="0"/>
          <w:sz w:val="12"/>
        </w:rPr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Textbooks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Goodfellow, Ian, Yoshua Bengio, and Aaron Courville. Deep Learning. MIT Press, 2016.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Prince, Simon J. D. Understanding Deep Learning. MIT Press, 2023.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Zhang, Aston, Zachary C. Lipton, Mu Li, and Alexander J. Smola. Dive into Deep Learning. Cambridge University Press, 2023.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Raschka, Sebastian, Yuxi Liu, and Vahid Mirjalili. Machine Learning with PyTorch and Scikit-Learn. Packt Publishing, 2022.</w:t>
      </w:r>
    </w:p>
    <w:p>
      <w:pPr>
        <w:spacing w:after="60"/>
        <w:jc w:val="both"/>
      </w:pPr>
      <w:r>
        <w:rPr>
          <w:rFonts w:ascii="Times New Roman" w:hAnsi="Times New Roman" w:cs="Times New Roman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