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right"/>
      </w:pPr>
      <w:r>
        <w:rPr>
          <w:rFonts w:ascii="David" w:hAnsi="David" w:cs="David"/>
          <w:b/>
          <w:sz w:val="28"/>
          <w:rtl/>
        </w:rPr>
        <w:t>מסמך רציונל לקורס מבוא ללמידה עמוקה</w:t>
      </w:r>
    </w:p>
    <w:p>
      <w:pPr>
        <w:spacing w:after="200"/>
        <w:jc w:val="right"/>
      </w:pPr>
      <w:r>
        <w:rPr>
          <w:rFonts w:ascii="Times New Roman" w:hAnsi="Times New Roman" w:cs="Times New Roman"/>
          <w:b/>
          <w:sz w:val="24"/>
        </w:rPr>
        <w:t>Introduction to Deep Learning</w:t>
      </w:r>
    </w:p>
    <w:p>
      <w:pPr>
        <w:bidi/>
        <w:spacing w:after="120"/>
        <w:jc w:val="right"/>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right"/>
      </w:pPr>
      <w:r>
        <w:rPr>
          <w:rFonts w:ascii="David" w:hAnsi="David" w:cs="David"/>
          <w:b w:val="0"/>
          <w:sz w:val="22"/>
          <w:rtl/>
        </w:rPr>
        <w:t>הקורס מיועד לסטודנטים מתקדמים לתואר ראשון ולתואר שני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right"/>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right"/>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right"/>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