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right"/>
      </w:pPr>
      <w:r>
        <w:rPr>
          <w:rFonts w:ascii="David" w:hAnsi="David" w:cs="David"/>
          <w:b/>
          <w:color w:val="007881"/>
          <w:sz w:val="28"/>
          <w:rtl/>
        </w:rPr>
        <w:t>מסמך רציונל לקורס מבוא ללמידה עמוקה</w:t>
      </w:r>
    </w:p>
    <w:p>
      <w:pPr>
        <w:spacing w:after="200"/>
        <w:jc w:val="right"/>
      </w:pPr>
      <w:r>
        <w:rPr>
          <w:rFonts w:ascii="Times New Roman" w:hAnsi="Times New Roman" w:cs="Times New Roman"/>
          <w:b/>
          <w:sz w:val="24"/>
        </w:rPr>
        <w:t>Introduction to Deep Learning</w:t>
      </w:r>
    </w:p>
    <w:p>
      <w:pPr>
        <w:bidi/>
        <w:spacing w:after="120"/>
        <w:jc w:val="both"/>
      </w:pPr>
      <w:r>
        <w:rPr>
          <w:rFonts w:ascii="David" w:hAnsi="David" w:cs="David"/>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both"/>
      </w:pPr>
      <w:r>
        <w:rPr>
          <w:rFonts w:ascii="David" w:hAnsi="David" w:cs="David"/>
          <w:b w:val="0"/>
          <w:sz w:val="22"/>
          <w:rtl/>
        </w:rPr>
        <w:t>הקורס מיועד לסטודנטים מתקדמים לתואר ראשון ולתואר שני במדעי המחשב, שסיימו קורס מבוא בלמידת מכונה. הוא מהווה את קורס היסוד שעליו נשענים קורסי הבחירה המתקדמים במודלי שפה גדולים ובראייה ממוחשבת.</w:t>
      </w:r>
    </w:p>
    <w:p>
      <w:pPr>
        <w:bidi/>
        <w:spacing w:after="120"/>
        <w:jc w:val="both"/>
      </w:pPr>
      <w:r>
        <w:rPr>
          <w:rFonts w:ascii="David" w:hAnsi="David" w:cs="David"/>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both"/>
      </w:pPr>
      <w:r>
        <w:rPr>
          <w:rFonts w:ascii="David" w:hAnsi="David" w:cs="David"/>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both"/>
      </w:pPr>
      <w:r>
        <w:rPr>
          <w:rFonts w:ascii="David" w:hAnsi="David" w:cs="David"/>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