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0"/>
        <w:spacing w:after="80"/>
        <w:jc w:val="center"/>
      </w:pPr>
      <w:r>
        <w:rPr>
          <w:rFonts w:ascii="Arial" w:hAnsi="Arial" w:cs="Arial"/>
          <w:b w:val="0"/>
          <w:sz w:val="40"/>
        </w:rPr>
        <w:t>Introduction to Deep Learning</w:t>
      </w:r>
    </w:p>
    <w:p>
      <w:pPr>
        <w:bidi w:val="0"/>
        <w:spacing w:after="0"/>
        <w:jc w:val="both"/>
      </w:pPr>
      <w:r>
        <w:rPr>
          <w:rFonts w:ascii="Arial" w:hAnsi="Arial" w:cs="Arial"/>
          <w:b/>
          <w:sz w:val="22"/>
        </w:rPr>
        <w:t>Lecture: 3 hours, practice: 2 hours</w:t>
      </w:r>
    </w:p>
    <w:p>
      <w:pPr>
        <w:bidi w:val="0"/>
        <w:spacing w:after="0"/>
        <w:jc w:val="both"/>
      </w:pPr>
      <w:r>
        <w:rPr>
          <w:rFonts w:ascii="Arial" w:hAnsi="Arial" w:cs="Arial"/>
          <w:b w:val="0"/>
          <w:sz w:val="22"/>
        </w:rPr>
        <w:t>5 hours, 4 credits</w:t>
      </w:r>
    </w:p>
    <w:p>
      <w:pPr>
        <w:bidi w:val="0"/>
        <w:spacing w:after="200"/>
        <w:jc w:val="both"/>
      </w:pPr>
      <w:r>
        <w:rPr>
          <w:rFonts w:ascii="Arial" w:hAnsi="Arial" w:cs="Arial"/>
          <w:b/>
          <w:sz w:val="22"/>
        </w:rPr>
        <w:t>Prerequisites: Machine Learning 63303, Probability 20021</w:t>
      </w:r>
    </w:p>
    <w:p>
      <w:pPr>
        <w:bidi w:val="0"/>
        <w:spacing w:after="80"/>
      </w:pPr>
      <w:r>
        <w:rPr>
          <w:rFonts w:ascii="Arial" w:hAnsi="Arial" w:cs="Arial"/>
          <w:b/>
          <w:sz w:val="26"/>
        </w:rPr>
        <w:t>Course Objectives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It is a foundational course required of every computer-science student and is taught across all specializations. It provides the shared deep-learning base for continued specialization in artificial intelligence, including computer vision and large language models, and is valuable in its own right rather than only as a step toward later courses. By the end of the course, students can take a new task, frame it, build a suitable network, train it, diagnose failures, and improve it.</w:t>
      </w:r>
    </w:p>
    <w:p>
      <w:pPr>
        <w:bidi w:val="0"/>
        <w:spacing w:after="80"/>
      </w:pPr>
      <w:r>
        <w:rPr>
          <w:rFonts w:ascii="Arial" w:hAnsi="Arial" w:cs="Arial"/>
          <w:b/>
          <w:sz w:val="26"/>
        </w:rPr>
        <w:t>Course content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bidi w:val="0"/>
        <w:spacing w:after="80"/>
      </w:pPr>
      <w:r>
        <w:rPr>
          <w:rFonts w:ascii="Arial" w:hAnsi="Arial" w:cs="Arial"/>
          <w:b/>
          <w:sz w:val="26"/>
        </w:rPr>
        <w:t>Student duties and grade components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bidi w:val="0"/>
        <w:spacing w:after="80"/>
      </w:pPr>
      <w:r>
        <w:rPr>
          <w:rFonts w:ascii="Arial" w:hAnsi="Arial" w:cs="Arial"/>
          <w:b/>
          <w:sz w:val="26"/>
        </w:rPr>
        <w:t>Course of lessons</w:t>
      </w:r>
    </w:p>
    <w:p>
      <w:pPr>
        <w:bidi w:val="0"/>
        <w:spacing w:after="120"/>
        <w:jc w:val="both"/>
      </w:pPr>
      <w:r>
        <w:rPr>
          <w:rFonts w:ascii="Arial" w:hAnsi="Arial" w:cs="Arial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bidi w:val="0"/>
        <w:spacing w:after="80"/>
        <w:jc w:val="both"/>
      </w:pPr>
      <w:r>
        <w:rPr>
          <w:rFonts w:ascii="Arial" w:hAnsi="Arial" w:cs="Arial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tblHeader/>
        </w:trPr>
        <w:tc>
          <w:tcPr>
            <w:tcW w:type="dxa" w:w="1644"/>
          </w:tcPr>
          <w:p>
            <w:r>
              <w:rPr>
                <w:rFonts w:ascii="Arial" w:hAnsi="Arial" w:cs="Arial"/>
                <w:b/>
                <w:sz w:val="22"/>
              </w:rPr>
              <w:t>Week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/>
                <w:sz w:val="22"/>
              </w:rPr>
              <w:t>Subject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4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5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6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7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8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9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10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11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12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1644"/>
          </w:tcPr>
          <w:p>
            <w:pPr>
              <w:jc w:val="center"/>
            </w:pPr>
            <w:r>
              <w:rPr>
                <w:rFonts w:ascii="Arial" w:hAnsi="Arial" w:cs="Arial"/>
                <w:b w:val="0"/>
                <w:sz w:val="22"/>
              </w:rPr>
              <w:t>13</w:t>
            </w:r>
          </w:p>
        </w:tc>
        <w:tc>
          <w:tcPr>
            <w:tcW w:type="dxa" w:w="6690"/>
          </w:tcPr>
          <w:p>
            <w:r>
              <w:rPr>
                <w:rFonts w:ascii="Arial" w:hAnsi="Arial" w:cs="Arial"/>
                <w:b w:val="0"/>
                <w:sz w:val="22"/>
              </w:rPr>
              <w:t>Integration and transfer learning</w:t>
            </w:r>
          </w:p>
        </w:tc>
      </w:tr>
    </w:tbl>
    <w:p>
      <w:pPr>
        <w:bidi w:val="0"/>
        <w:spacing w:after="0"/>
        <w:jc w:val="both"/>
      </w:pPr>
      <w:r>
        <w:rPr>
          <w:rFonts w:ascii="Arial" w:hAnsi="Arial" w:cs="Arial"/>
          <w:b w:val="0"/>
          <w:sz w:val="12"/>
        </w:rPr>
      </w:r>
    </w:p>
    <w:p>
      <w:pPr>
        <w:bidi w:val="0"/>
        <w:spacing w:after="80"/>
      </w:pPr>
      <w:r>
        <w:rPr>
          <w:rFonts w:ascii="Arial" w:hAnsi="Arial" w:cs="Arial"/>
          <w:b/>
          <w:sz w:val="26"/>
        </w:rPr>
        <w:t>Textbooks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Goodfellow, Ian, Yoshua Bengio, and Aaron Courville. Deep Learning. MIT Press, 2016.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Prince, Simon J. D. Understanding Deep Learning. MIT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Zhang, Aston, Zachary C. Lipton, Mu Li, and Alexander J. Smola. Dive into Deep Learning. Cambridge University Press, 2023.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Raschka, Sebastian, Yuxi Liu, and Vahid Mirjalili. Machine Learning with PyTorch and Scikit-Learn. Packt Publishing, 2022.</w:t>
      </w:r>
    </w:p>
    <w:p>
      <w:pPr>
        <w:bidi w:val="0"/>
        <w:spacing w:after="60"/>
        <w:jc w:val="both"/>
      </w:pPr>
      <w:r>
        <w:rPr>
          <w:rFonts w:ascii="Arial" w:hAnsi="Arial" w:cs="Arial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