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 w:cs="Times New Roman"/>
          <w:b/>
          <w:color w:val="007881"/>
          <w:sz w:val="32"/>
        </w:rPr>
        <w:t>Introduction to Deep Learning</w:t>
      </w:r>
    </w:p>
    <w:p>
      <w:pPr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Lecture: 3 hours, practice: 2 hours</w:t>
      </w:r>
    </w:p>
    <w:p>
      <w:pPr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5 hours, 4 credits</w:t>
      </w:r>
    </w:p>
    <w:p>
      <w:pPr>
        <w:spacing w:after="200"/>
        <w:jc w:val="both"/>
      </w:pPr>
      <w:r>
        <w:rPr>
          <w:rFonts w:ascii="Times New Roman" w:hAnsi="Times New Roman" w:cs="Times New Roman"/>
          <w:b w:val="0"/>
          <w:sz w:val="22"/>
        </w:rPr>
        <w:t>Prerequisites: Machine Learning 63303, Probability 20021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Objectives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This is the foundation deep-learning course in the program and the bridge to the advanced electives in large language models and computer vision. By the end of the course, students can take a new task, frame it, build a suitable network, train it, diagnose failures, and improve it.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content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labs, and designed for working with an AI coding assistant.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Student duties and grade components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is project- and lab-based with no written exams. The final grade combines weekly labs (40%), a mid-term mini-project (20%), a final project with a short oral defense (35%), and participation (5%).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of lessons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Each week has three parts: a 3-hour lecture that develops the theory, a 2-hour practice lesson in which the instructor demonstrates implementations and works through examples, and a weekly lab set as homework. The labs follow a build, predict, and explain model: students may use an AI assistant for the build, but the graded work is predicting outcomes and explaining results.</w:t>
      </w:r>
    </w:p>
    <w:p>
      <w:pPr>
        <w:spacing w:after="80"/>
        <w:jc w:val="both"/>
      </w:pPr>
      <w:r>
        <w:rPr>
          <w:rFonts w:ascii="Times New Roman" w:hAnsi="Times New Roman" w:cs="Times New Roman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Subject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Integration and transfer learning</w:t>
            </w:r>
          </w:p>
        </w:tc>
      </w:tr>
    </w:tbl>
    <w:p>
      <w:pPr>
        <w:spacing w:after="0"/>
        <w:jc w:val="both"/>
      </w:pPr>
      <w:r>
        <w:rPr>
          <w:rFonts w:ascii="Times New Roman" w:hAnsi="Times New Roman" w:cs="Times New Roman"/>
          <w:b w:val="0"/>
          <w:sz w:val="12"/>
        </w:rPr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Textbooks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Goodfellow, Ian, Yoshua Bengio, and Aaron Courville. Deep Learning. MIT Press, 2016.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Prince, Simon J. D. Understanding Deep Learning. MIT Press, 2023.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Zhang, Aston, Zachary C. Lipton, Mu Li, and Alexander J. Smola. Dive into Deep Learning. Cambridge University Press, 2023.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Raschka, Sebastian, Yuxi Liu, and Vahid Mirjalili. Machine Learning with PyTorch and Scikit-Learn. Packt Publishing, 2022.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