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F07F12"/>
          <w:sz w:val="48"/>
        </w:rPr>
        <w:t>ServiceNow SPM Pro vs. Planisware</w:t>
      </w:r>
    </w:p>
    <w:p>
      <w:r>
        <w:rPr>
          <w:rFonts w:ascii="Calibri" w:hAnsi="Calibri"/>
          <w:i/>
          <w:color w:val="4B5563"/>
          <w:sz w:val="26"/>
        </w:rPr>
        <w:t>Vergleich und Empfehlung im Kontext einer bestehenden ServiceNow-Basis</w:t>
      </w:r>
    </w:p>
    <w:p>
      <w:pPr>
        <w:spacing w:after="240"/>
      </w:pPr>
      <w:r>
        <w:rPr>
          <w:i/>
          <w:color w:val="4B5563"/>
          <w:sz w:val="20"/>
        </w:rPr>
        <w:t>Referenz: Gartner Magic Quadrant for Adaptive Project Management and Reporting (APMR), 3. August 2026, ID G00842775  ·  Fokus: Projekt-Management-Fähigkeiten im STIHL-Kontext</w:t>
      </w:r>
    </w:p>
    <w:p>
      <w:pPr>
        <w:pBdr>
          <w:bottom w:val="single" w:sz="8" w:space="1" w:color="F07F12"/>
        </w:pBdr>
      </w:pPr>
    </w:p>
    <w:p>
      <w:pPr>
        <w:spacing w:before="360" w:after="120"/>
      </w:pPr>
      <w:r>
        <w:rPr>
          <w:rFonts w:ascii="Calibri" w:hAnsi="Calibri"/>
          <w:b/>
          <w:color w:val="F07F12"/>
          <w:sz w:val="40"/>
        </w:rPr>
        <w:t>Executive Summary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Planisware wird im aktuellen Gartner APMR Magic Quadrant (3. August 2026) als Leader geführt — mit Planisware Orchestra als Kernprodukt und dem AI-Agent Oscar für Portfolio- und Projektmanagement-Aufgaben. Gartner attestiert Planisware ein starkes „Market Understanding" und eine belastbare Post-IPO-Stabilität.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ServiceNow SPM Pro wird im APMR Magic Quadrant nicht bewertet — nicht wegen fehlender Qualität, sondern per Gartner-Ausschlussregel: Plattform-Vendors, die APMR als Modul ihrer Basis-Plattform anbieten, sind vom APMR-MQ ausgeschlossen. Für STIHL ist genau dieser Plattform-Charakter der entscheidende Vorteil.</w:t>
      </w:r>
    </w:p>
    <w:p>
      <w:pPr>
        <w:spacing w:after="240"/>
      </w:pPr>
      <w:r>
        <w:rPr>
          <w:rFonts w:ascii="Calibri" w:hAnsi="Calibri"/>
          <w:b w:val="0"/>
          <w:i w:val="0"/>
          <w:sz w:val="22"/>
        </w:rPr>
        <w:t>Für ein Unternehmen mit bestehender ServiceNow-Basis und aktivem SPM Demand-Management ist die Empfehlung: ServiceNow SPM Pro als strategische Ziel-Plattform, ergänzt durch App Engine für spezifische Prozesse (z.B. Stage-Gate-PEP im Bereich Entwicklung Waldwirtschaft, EWW). Planisware bleibt als Hedge-Option für den engen R&amp;D-Bereich denkbar, ist aber wirtschaftlich meist unterlegen.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972"/>
            <w:shd w:val="clear" w:color="auto" w:fill="DDF1DE"/>
            <w:tcBorders>
              <w:top w:val="single" w:sz="2" w:color="808080"/>
              <w:left w:val="single" w:sz="2" w:color="808080"/>
              <w:bottom w:val="single" w:sz="2" w:color="808080"/>
              <w:right w:val="single" w:sz="2" w:color="808080"/>
            </w:tcBorders>
          </w:tcPr>
          <w:p>
            <w:r/>
            <w:r>
              <w:rPr>
                <w:rFonts w:ascii="Calibri" w:hAnsi="Calibri"/>
                <w:b/>
                <w:sz w:val="24"/>
              </w:rPr>
              <w:t>🎯 Kernempfehlung</w:t>
              <w:br/>
            </w:r>
          </w:p>
          <w:p>
            <w:r>
              <w:rPr>
                <w:rFonts w:ascii="Calibri" w:hAnsi="Calibri"/>
                <w:sz w:val="21"/>
              </w:rPr>
              <w:t>ServiceNow SPM Pro empfohlen — Datenkontinuität, Betriebskontinuität und Time-to-Value überwiegen deutlich die Funktionsvorteile des spezialisierten Best-of-Breed-Tools.</w:t>
            </w:r>
          </w:p>
        </w:tc>
      </w:tr>
    </w:tbl>
    <w:p/>
    <w:p>
      <w:pPr>
        <w:spacing w:before="360" w:after="120"/>
      </w:pPr>
      <w:r>
        <w:rPr>
          <w:rFonts w:ascii="Calibri" w:hAnsi="Calibri"/>
          <w:b/>
          <w:color w:val="F07F12"/>
          <w:sz w:val="40"/>
        </w:rPr>
        <w:t>Einordnung: Warum ServiceNow im APMR MQ fehlt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Der Gartner APMR Magic Quadrant bewertet 11 Vendors: Asana, monday.com, Planforge, Planisware, Planview, Prism PPM, ProSymmetry, Smartsheet, Triskell, Uppwise und Wrike. ServiceNow ist bewusst nicht enthalten.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Wörtliches Exclusion Criterion des Gartner-Berichts (Seite 17):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972"/>
            <w:shd w:val="clear" w:color="auto" w:fill="EEF1F4"/>
            <w:tcBorders>
              <w:top w:val="single" w:sz="2" w:color="808080"/>
              <w:left w:val="single" w:sz="2" w:color="808080"/>
              <w:bottom w:val="single" w:sz="2" w:color="808080"/>
              <w:right w:val="single" w:sz="2" w:color="808080"/>
            </w:tcBorders>
          </w:tcPr>
          <w:p>
            <w:r/>
            <w:r>
              <w:rPr>
                <w:rFonts w:ascii="Calibri" w:hAnsi="Calibri"/>
                <w:b/>
                <w:sz w:val="24"/>
              </w:rPr>
              <w:t>📖 Zitat Gartner APMR MQ</w:t>
              <w:br/>
            </w:r>
          </w:p>
          <w:p>
            <w:r>
              <w:rPr>
                <w:rFonts w:ascii="Calibri" w:hAnsi="Calibri"/>
                <w:sz w:val="21"/>
              </w:rPr>
              <w:t>„ERP, ITSM, SFA and other similar platform vendors that offer APMR extensions or modules from their base platforms are not included."</w:t>
              <w:br/>
              <w:br/>
              <w:t>Übersetzt: ServiceNow ist als ITSM-Plattform mit APMR-Modul (SPM Pro) per Definition kein reiner APMR-Player und wird deshalb im MQ nicht gewertet.</w:t>
            </w:r>
          </w:p>
        </w:tc>
      </w:tr>
    </w:tbl>
    <w:p/>
    <w:p>
      <w:pPr>
        <w:spacing w:after="240"/>
      </w:pPr>
      <w:r>
        <w:rPr>
          <w:rFonts w:ascii="Calibri" w:hAnsi="Calibri"/>
          <w:b w:val="0"/>
          <w:i/>
          <w:color w:val="4B5563"/>
          <w:sz w:val="22"/>
        </w:rPr>
        <w:t>Für den STIHL-Kontext ist das kein Nachteil — im Gegenteil: wir suchen genau den Plattform-Effekt (Integration mit ITSM, HR-SD, GRC, App Engine). Reine APMR-Best-of-Breed-Tools wie Planisware bieten diese Integration definitionsgemäß nicht.</w:t>
      </w:r>
    </w:p>
    <w:p>
      <w:pPr>
        <w:spacing w:before="360" w:after="120"/>
      </w:pPr>
      <w:r>
        <w:rPr>
          <w:rFonts w:ascii="Calibri" w:hAnsi="Calibri"/>
          <w:b/>
          <w:color w:val="F07F12"/>
          <w:sz w:val="40"/>
        </w:rPr>
        <w:t>Steckbriefe der beiden Player</w:t>
      </w:r>
    </w:p>
    <w:p>
      <w:pPr>
        <w:spacing w:before="280" w:after="120"/>
      </w:pPr>
      <w:r>
        <w:rPr>
          <w:rFonts w:ascii="Calibri" w:hAnsi="Calibri"/>
          <w:b/>
          <w:color w:val="2C3E50"/>
          <w:sz w:val="30"/>
        </w:rPr>
        <w:t>🎯 Planisware — Leader im Gartner APMR MQ 2026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Kernprodukt: Planisware Orchestra (SaaS, mehrsprachig)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AI-Agent Oscar: Demand Management, Szenario-Planung, Natural Language Queries, automatisierte Statusberichte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Gartner-Stärken laut MQ 2026: Market Understanding (Reifegrad-Skalierung von Projekt- zu Portfolio-Ebene), Marketing Strategy (out-of-the-box Dashboards), Overall Viability (Post-IPO-Stabilität, neue Präsenz in den Amerikas)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Gartner-Cautions laut MQ 2026: (1) Steile Lernkurve durch breites Feature-Set, (2) Industry-Starter-Packages decken Anforderungen nicht immer ab — Zusatzkonfiguration nötig, (3) AI-Fokus deckt evtl. nicht alle funktionalen APMR-Anforderungen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Betriebsmodell: Insellösung ohne nativen Anschluss an ITSM/HR/CSM/GRC</w:t>
      </w:r>
    </w:p>
    <w:p>
      <w:pPr>
        <w:spacing w:before="280" w:after="120"/>
      </w:pPr>
      <w:r>
        <w:rPr>
          <w:rFonts w:ascii="Calibri" w:hAnsi="Calibri"/>
          <w:b/>
          <w:color w:val="2C3E50"/>
          <w:sz w:val="30"/>
        </w:rPr>
        <w:t>🔷 ServiceNow SPM Pro — Plattform-Modul, nicht im APMR MQ bewertet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Teil der Now Platform, native Integration mit ITSM, ITOM, HR, CSM, GRC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Kernstärken: Plattform-Integration, Demand-to-Delivery, App Engine, Now Assist (KI)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Zielgruppe: Enterprises mit vorhandener SNOW-Basis, Fokus auf End-to-End-Digitalisierung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Preis-Level: mittel bis hoch, aber deutlicher Skaleneffekt bei bestehendem SNOW-Vertrag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Wichtiger Kontext: Gartner-APMR-MQ schließt Plattform-Vendors wie SNOW definitorisch aus — dies ist kein Qualitätsurteil, sondern eine Marktabgrenzung</w:t>
      </w:r>
    </w:p>
    <w:p>
      <w:r>
        <w:br w:type="page"/>
      </w:r>
    </w:p>
    <w:p>
      <w:pPr>
        <w:spacing w:before="360" w:after="120"/>
      </w:pPr>
      <w:r>
        <w:rPr>
          <w:rFonts w:ascii="Calibri" w:hAnsi="Calibri"/>
          <w:b/>
          <w:color w:val="F07F12"/>
          <w:sz w:val="40"/>
        </w:rPr>
        <w:t>Head-to-Head: Projekt-Management-Fähigkeiten</w:t>
      </w:r>
    </w:p>
    <w:p>
      <w:pPr>
        <w:spacing w:after="200"/>
      </w:pPr>
      <w:r>
        <w:rPr>
          <w:rFonts w:ascii="Calibri" w:hAnsi="Calibri"/>
          <w:b w:val="0"/>
          <w:i/>
          <w:color w:val="4B5563"/>
          <w:sz w:val="22"/>
        </w:rPr>
        <w:t>Die folgende Matrix vergleicht beide Player anhand von 16 Kriterien im Kontext Projekt-Management (5 Sterne = Best-in-Class). Die Planisware-Bewertungen orientieren sich am Gartner APMR MQ 2026, die SNOW-Bewertungen an STIHL-Erfahrungswerten und Marktbeobachtung.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102"/>
            <w:shd w:val="clear" w:color="auto" w:fill="2C3E5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Fähigkeit</w:t>
            </w:r>
          </w:p>
        </w:tc>
        <w:tc>
          <w:tcPr>
            <w:tcW w:type="dxa" w:w="1984"/>
            <w:shd w:val="clear" w:color="auto" w:fill="2C3E5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Planisware</w:t>
            </w:r>
          </w:p>
        </w:tc>
        <w:tc>
          <w:tcPr>
            <w:tcW w:type="dxa" w:w="2551"/>
            <w:shd w:val="clear" w:color="auto" w:fill="2C3E5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ServiceNow SPM Pro</w:t>
            </w:r>
          </w:p>
        </w:tc>
      </w:tr>
      <w:tr>
        <w:tc>
          <w:tcPr>
            <w:tcW w:type="dxa" w:w="5102"/>
            <w:shd w:val="clear" w:color="auto" w:fill="F7F7F7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/>
                <w:b/>
                <w:i w:val="0"/>
                <w:sz w:val="21"/>
              </w:rPr>
              <w:t>Klassische Projektplanung (Gantt, WBS, Meilensteine)</w:t>
            </w:r>
          </w:p>
        </w:tc>
        <w:tc>
          <w:tcPr>
            <w:tcW w:type="dxa" w:w="1984"/>
            <w:shd w:val="clear" w:color="auto" w:fill="F7F7F7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★★★★★</w:t>
            </w:r>
          </w:p>
        </w:tc>
        <w:tc>
          <w:tcPr>
            <w:tcW w:type="dxa" w:w="2551"/>
            <w:shd w:val="clear" w:color="auto" w:fill="F7F7F7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★★★★</w:t>
            </w:r>
          </w:p>
        </w:tc>
      </w:tr>
      <w:tr>
        <w:tc>
          <w:tcPr>
            <w:tcW w:type="dxa" w:w="5102"/>
            <w:shd w:val="clear" w:color="auto" w:fill="EEF1F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/>
                <w:b/>
                <w:i w:val="0"/>
                <w:sz w:val="21"/>
              </w:rPr>
              <w:t>Multi-Projekt-Abhängigkeiten</w:t>
            </w:r>
          </w:p>
        </w:tc>
        <w:tc>
          <w:tcPr>
            <w:tcW w:type="dxa" w:w="1984"/>
            <w:shd w:val="clear" w:color="auto" w:fill="EEF1F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★★★★★</w:t>
            </w:r>
          </w:p>
        </w:tc>
        <w:tc>
          <w:tcPr>
            <w:tcW w:type="dxa" w:w="2551"/>
            <w:shd w:val="clear" w:color="auto" w:fill="EEF1F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★★★★</w:t>
            </w:r>
          </w:p>
        </w:tc>
      </w:tr>
      <w:tr>
        <w:tc>
          <w:tcPr>
            <w:tcW w:type="dxa" w:w="5102"/>
            <w:shd w:val="clear" w:color="auto" w:fill="F7F7F7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/>
                <w:b/>
                <w:i w:val="0"/>
                <w:sz w:val="21"/>
              </w:rPr>
              <w:t>Ressourcen-Management (Skills, Capacity, Optimierung)</w:t>
            </w:r>
          </w:p>
        </w:tc>
        <w:tc>
          <w:tcPr>
            <w:tcW w:type="dxa" w:w="1984"/>
            <w:shd w:val="clear" w:color="auto" w:fill="F7F7F7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★★★★★</w:t>
            </w:r>
          </w:p>
        </w:tc>
        <w:tc>
          <w:tcPr>
            <w:tcW w:type="dxa" w:w="2551"/>
            <w:shd w:val="clear" w:color="auto" w:fill="F7F7F7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★★★★</w:t>
            </w:r>
          </w:p>
        </w:tc>
      </w:tr>
      <w:tr>
        <w:tc>
          <w:tcPr>
            <w:tcW w:type="dxa" w:w="5102"/>
            <w:shd w:val="clear" w:color="auto" w:fill="EEF1F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/>
                <w:b/>
                <w:i w:val="0"/>
                <w:sz w:val="21"/>
              </w:rPr>
              <w:t>Was-wäre-wenn / Szenario-Analysen (Oscar-AI)</w:t>
            </w:r>
          </w:p>
        </w:tc>
        <w:tc>
          <w:tcPr>
            <w:tcW w:type="dxa" w:w="1984"/>
            <w:shd w:val="clear" w:color="auto" w:fill="EEF1F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★★★★★</w:t>
            </w:r>
          </w:p>
        </w:tc>
        <w:tc>
          <w:tcPr>
            <w:tcW w:type="dxa" w:w="2551"/>
            <w:shd w:val="clear" w:color="auto" w:fill="EEF1F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★★★★ (Pro)</w:t>
            </w:r>
          </w:p>
        </w:tc>
      </w:tr>
      <w:tr>
        <w:tc>
          <w:tcPr>
            <w:tcW w:type="dxa" w:w="5102"/>
            <w:shd w:val="clear" w:color="auto" w:fill="F7F7F7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/>
                <w:b/>
                <w:i w:val="0"/>
                <w:sz w:val="21"/>
              </w:rPr>
              <w:t>Finanz-Management (Kosten, Forecasts, Investment)</w:t>
            </w:r>
          </w:p>
        </w:tc>
        <w:tc>
          <w:tcPr>
            <w:tcW w:type="dxa" w:w="1984"/>
            <w:shd w:val="clear" w:color="auto" w:fill="F7F7F7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★★★★★</w:t>
            </w:r>
          </w:p>
        </w:tc>
        <w:tc>
          <w:tcPr>
            <w:tcW w:type="dxa" w:w="2551"/>
            <w:shd w:val="clear" w:color="auto" w:fill="F7F7F7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★★★★</w:t>
            </w:r>
          </w:p>
        </w:tc>
      </w:tr>
      <w:tr>
        <w:tc>
          <w:tcPr>
            <w:tcW w:type="dxa" w:w="5102"/>
            <w:shd w:val="clear" w:color="auto" w:fill="EEF1F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/>
                <w:b/>
                <w:i w:val="0"/>
                <w:sz w:val="21"/>
              </w:rPr>
              <w:t>Programm-Management</w:t>
            </w:r>
          </w:p>
        </w:tc>
        <w:tc>
          <w:tcPr>
            <w:tcW w:type="dxa" w:w="1984"/>
            <w:shd w:val="clear" w:color="auto" w:fill="EEF1F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★★★★★</w:t>
            </w:r>
          </w:p>
        </w:tc>
        <w:tc>
          <w:tcPr>
            <w:tcW w:type="dxa" w:w="2551"/>
            <w:shd w:val="clear" w:color="auto" w:fill="EEF1F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★★★★</w:t>
            </w:r>
          </w:p>
        </w:tc>
      </w:tr>
      <w:tr>
        <w:tc>
          <w:tcPr>
            <w:tcW w:type="dxa" w:w="5102"/>
            <w:shd w:val="clear" w:color="auto" w:fill="F7F7F7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/>
                <w:b/>
                <w:i w:val="0"/>
                <w:sz w:val="21"/>
              </w:rPr>
              <w:t>Stage-Gate / PEP-Prozesse</w:t>
            </w:r>
          </w:p>
        </w:tc>
        <w:tc>
          <w:tcPr>
            <w:tcW w:type="dxa" w:w="1984"/>
            <w:shd w:val="clear" w:color="auto" w:fill="F7F7F7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★★★★★</w:t>
            </w:r>
          </w:p>
        </w:tc>
        <w:tc>
          <w:tcPr>
            <w:tcW w:type="dxa" w:w="2551"/>
            <w:shd w:val="clear" w:color="auto" w:fill="F7F7F7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★★★ / ★★★★ mit App Engine</w:t>
            </w:r>
          </w:p>
        </w:tc>
      </w:tr>
      <w:tr>
        <w:tc>
          <w:tcPr>
            <w:tcW w:type="dxa" w:w="5102"/>
            <w:shd w:val="clear" w:color="auto" w:fill="EEF1F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/>
                <w:b/>
                <w:i w:val="0"/>
                <w:sz w:val="21"/>
              </w:rPr>
              <w:t>Agile / Hybrid-PM (SAFe, Scrum)</w:t>
            </w:r>
          </w:p>
        </w:tc>
        <w:tc>
          <w:tcPr>
            <w:tcW w:type="dxa" w:w="1984"/>
            <w:shd w:val="clear" w:color="auto" w:fill="EEF1F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★★★★</w:t>
            </w:r>
          </w:p>
        </w:tc>
        <w:tc>
          <w:tcPr>
            <w:tcW w:type="dxa" w:w="2551"/>
            <w:shd w:val="clear" w:color="auto" w:fill="EEF1F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★★★★ (EAP Pro)</w:t>
            </w:r>
          </w:p>
        </w:tc>
      </w:tr>
      <w:tr>
        <w:tc>
          <w:tcPr>
            <w:tcW w:type="dxa" w:w="5102"/>
            <w:shd w:val="clear" w:color="auto" w:fill="F7F7F7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/>
                <w:b/>
                <w:i w:val="0"/>
                <w:sz w:val="21"/>
              </w:rPr>
              <w:t>Reporting &amp; Live-Dashboards</w:t>
            </w:r>
          </w:p>
        </w:tc>
        <w:tc>
          <w:tcPr>
            <w:tcW w:type="dxa" w:w="1984"/>
            <w:shd w:val="clear" w:color="auto" w:fill="F7F7F7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★★★★</w:t>
            </w:r>
          </w:p>
        </w:tc>
        <w:tc>
          <w:tcPr>
            <w:tcW w:type="dxa" w:w="2551"/>
            <w:shd w:val="clear" w:color="auto" w:fill="F7F7F7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★★★★★</w:t>
            </w:r>
          </w:p>
        </w:tc>
      </w:tr>
      <w:tr>
        <w:tc>
          <w:tcPr>
            <w:tcW w:type="dxa" w:w="5102"/>
            <w:shd w:val="clear" w:color="auto" w:fill="EEF1F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/>
                <w:b/>
                <w:i w:val="0"/>
                <w:sz w:val="21"/>
              </w:rPr>
              <w:t>KI / GenAI (Vorhersagen, Auto-Reports)</w:t>
            </w:r>
          </w:p>
        </w:tc>
        <w:tc>
          <w:tcPr>
            <w:tcW w:type="dxa" w:w="1984"/>
            <w:shd w:val="clear" w:color="auto" w:fill="EEF1F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★★★★ (Oscar)</w:t>
            </w:r>
          </w:p>
        </w:tc>
        <w:tc>
          <w:tcPr>
            <w:tcW w:type="dxa" w:w="2551"/>
            <w:shd w:val="clear" w:color="auto" w:fill="EEF1F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★★★★★ (Now Assist)</w:t>
            </w:r>
          </w:p>
        </w:tc>
      </w:tr>
      <w:tr>
        <w:tc>
          <w:tcPr>
            <w:tcW w:type="dxa" w:w="5102"/>
            <w:shd w:val="clear" w:color="auto" w:fill="F7F7F7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/>
                <w:b/>
                <w:i w:val="0"/>
                <w:sz w:val="21"/>
              </w:rPr>
              <w:t>Zeiterfassung + Approval</w:t>
            </w:r>
          </w:p>
        </w:tc>
        <w:tc>
          <w:tcPr>
            <w:tcW w:type="dxa" w:w="1984"/>
            <w:shd w:val="clear" w:color="auto" w:fill="F7F7F7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★★★★★</w:t>
            </w:r>
          </w:p>
        </w:tc>
        <w:tc>
          <w:tcPr>
            <w:tcW w:type="dxa" w:w="2551"/>
            <w:shd w:val="clear" w:color="auto" w:fill="F7F7F7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★★★★</w:t>
            </w:r>
          </w:p>
        </w:tc>
      </w:tr>
      <w:tr>
        <w:tc>
          <w:tcPr>
            <w:tcW w:type="dxa" w:w="5102"/>
            <w:shd w:val="clear" w:color="auto" w:fill="EEF1F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/>
                <w:b/>
                <w:i w:val="0"/>
                <w:sz w:val="21"/>
              </w:rPr>
              <w:t>Integration mit ITSM / bestehende SNOW-Landschaft</w:t>
            </w:r>
          </w:p>
        </w:tc>
        <w:tc>
          <w:tcPr>
            <w:tcW w:type="dxa" w:w="1984"/>
            <w:shd w:val="clear" w:color="auto" w:fill="EEF1F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★★</w:t>
            </w:r>
          </w:p>
        </w:tc>
        <w:tc>
          <w:tcPr>
            <w:tcW w:type="dxa" w:w="2551"/>
            <w:shd w:val="clear" w:color="auto" w:fill="EEF1F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★★★★★ (nativ)</w:t>
            </w:r>
          </w:p>
        </w:tc>
      </w:tr>
      <w:tr>
        <w:tc>
          <w:tcPr>
            <w:tcW w:type="dxa" w:w="5102"/>
            <w:shd w:val="clear" w:color="auto" w:fill="F7F7F7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/>
                <w:b/>
                <w:i w:val="0"/>
                <w:sz w:val="21"/>
              </w:rPr>
              <w:t>Extensibility / Low-Code Custom</w:t>
            </w:r>
          </w:p>
        </w:tc>
        <w:tc>
          <w:tcPr>
            <w:tcW w:type="dxa" w:w="1984"/>
            <w:shd w:val="clear" w:color="auto" w:fill="F7F7F7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★★★</w:t>
            </w:r>
          </w:p>
        </w:tc>
        <w:tc>
          <w:tcPr>
            <w:tcW w:type="dxa" w:w="2551"/>
            <w:shd w:val="clear" w:color="auto" w:fill="F7F7F7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★★★★★ (App Engine)</w:t>
            </w:r>
          </w:p>
        </w:tc>
      </w:tr>
      <w:tr>
        <w:tc>
          <w:tcPr>
            <w:tcW w:type="dxa" w:w="5102"/>
            <w:shd w:val="clear" w:color="auto" w:fill="EEF1F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/>
                <w:b/>
                <w:i w:val="0"/>
                <w:sz w:val="21"/>
              </w:rPr>
              <w:t>User Experience / Familiarität bei SNOW-Kunden</w:t>
            </w:r>
          </w:p>
        </w:tc>
        <w:tc>
          <w:tcPr>
            <w:tcW w:type="dxa" w:w="1984"/>
            <w:shd w:val="clear" w:color="auto" w:fill="EEF1F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★★</w:t>
            </w:r>
          </w:p>
        </w:tc>
        <w:tc>
          <w:tcPr>
            <w:tcW w:type="dxa" w:w="2551"/>
            <w:shd w:val="clear" w:color="auto" w:fill="EEF1F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★★★★</w:t>
            </w:r>
          </w:p>
        </w:tc>
      </w:tr>
      <w:tr>
        <w:tc>
          <w:tcPr>
            <w:tcW w:type="dxa" w:w="5102"/>
            <w:shd w:val="clear" w:color="auto" w:fill="F7F7F7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/>
                <w:b/>
                <w:i w:val="0"/>
                <w:sz w:val="21"/>
              </w:rPr>
              <w:t>Time-to-Value bei bestehender SNOW-Basis</w:t>
            </w:r>
          </w:p>
        </w:tc>
        <w:tc>
          <w:tcPr>
            <w:tcW w:type="dxa" w:w="1984"/>
            <w:shd w:val="clear" w:color="auto" w:fill="F7F7F7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★</w:t>
            </w:r>
          </w:p>
        </w:tc>
        <w:tc>
          <w:tcPr>
            <w:tcW w:type="dxa" w:w="2551"/>
            <w:shd w:val="clear" w:color="auto" w:fill="F7F7F7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★★★★★</w:t>
            </w:r>
          </w:p>
        </w:tc>
      </w:tr>
      <w:tr>
        <w:tc>
          <w:tcPr>
            <w:tcW w:type="dxa" w:w="5102"/>
            <w:shd w:val="clear" w:color="auto" w:fill="EEF1F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/>
                <w:b/>
                <w:i w:val="0"/>
                <w:sz w:val="21"/>
              </w:rPr>
              <w:t>TCO (5J) bei bestehender SNOW-Basis</w:t>
            </w:r>
          </w:p>
        </w:tc>
        <w:tc>
          <w:tcPr>
            <w:tcW w:type="dxa" w:w="1984"/>
            <w:shd w:val="clear" w:color="auto" w:fill="EEF1F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★</w:t>
            </w:r>
          </w:p>
        </w:tc>
        <w:tc>
          <w:tcPr>
            <w:tcW w:type="dxa" w:w="2551"/>
            <w:shd w:val="clear" w:color="auto" w:fill="EEF1F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★★★★</w:t>
            </w:r>
          </w:p>
        </w:tc>
      </w:tr>
    </w:tbl>
    <w:p/>
    <w:p>
      <w:pPr>
        <w:spacing w:before="360" w:after="120"/>
      </w:pPr>
      <w:r>
        <w:rPr>
          <w:rFonts w:ascii="Calibri" w:hAnsi="Calibri"/>
          <w:b/>
          <w:color w:val="F07F12"/>
          <w:sz w:val="40"/>
        </w:rPr>
        <w:t>Fach-Bewertung nach Projekt-Management-Aspekten</w:t>
      </w:r>
    </w:p>
    <w:p>
      <w:pPr>
        <w:spacing w:before="280" w:after="120"/>
      </w:pPr>
      <w:r>
        <w:rPr>
          <w:rFonts w:ascii="Calibri" w:hAnsi="Calibri"/>
          <w:b/>
          <w:color w:val="B91C1C"/>
          <w:sz w:val="24"/>
        </w:rPr>
        <w:t>Wo Planisware technisch überlegen ist (laut Gartner APMR MQ 2026)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Reife Portfolio-Ebene mit strukturierter Governance und adaptiven Controls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AI-Agent Oscar mit Fokus auf Demand, Szenario-Planung, Natural Language Queries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Out-of-the-box Dashboards und einheitliche Datenschicht als Fundament für AI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Post-IPO-Stabilität und globale Präsenz (jüngst neue Amerikas-Präsenz)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ABER laut Gartner: Steile Lernkurve, Industry-Packages oft nicht ausreichend, Insel-Betrieb ohne Anschluss an ITSM/HR/CSM</w:t>
      </w:r>
    </w:p>
    <w:p>
      <w:pPr>
        <w:spacing w:before="280" w:after="120"/>
      </w:pPr>
      <w:r>
        <w:rPr>
          <w:rFonts w:ascii="Calibri" w:hAnsi="Calibri"/>
          <w:b/>
          <w:color w:val="2E7D32"/>
          <w:sz w:val="24"/>
        </w:rPr>
        <w:t>Wo ServiceNow SPM Pro überlegen ist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Plattform-Integration — Demand aus ITSM fließt direkt in Projekte (nativ, kein Konnektor)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Time-to-Value — Team, Betrieb und UI im Haus seit 2014 bekannt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KI durchgängig — Now Assist für Reporting, Risikofrüherkennung, Story Generation über alle SNOW-Bereiche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Erweiterbarkeit über App Engine — spezifische PEP-Steps ohne 3rd-Party-Tool nachbaubar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Ganzheitliche Sicht über IT-Projekte, Business-Projekte, HR-Projekte, Compliance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ABER: in tiefstem Engineering-PM strukturell weniger reif als das spezialisierte Best-of-Breed-Tool</w:t>
      </w:r>
    </w:p>
    <w:p>
      <w:r>
        <w:br w:type="page"/>
      </w:r>
    </w:p>
    <w:p>
      <w:pPr>
        <w:spacing w:before="360" w:after="120"/>
      </w:pPr>
      <w:r>
        <w:rPr>
          <w:rFonts w:ascii="Calibri" w:hAnsi="Calibri"/>
          <w:b/>
          <w:color w:val="F07F12"/>
          <w:sz w:val="40"/>
        </w:rPr>
        <w:t>Empfehlung für den STIHL-Kontext</w:t>
      </w:r>
    </w:p>
    <w:p>
      <w:pPr>
        <w:spacing w:after="200"/>
      </w:pPr>
      <w:r>
        <w:rPr>
          <w:rFonts w:ascii="Calibri" w:hAnsi="Calibri"/>
          <w:b w:val="0"/>
          <w:i/>
          <w:color w:val="4B5563"/>
          <w:sz w:val="22"/>
        </w:rPr>
        <w:t>Setup: ServiceNow seit 2014 im Einsatz  ·  SPM Demand bereits aktiv  ·  Migration von altem PM-Tool (PIT/MSPO)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972"/>
            <w:shd w:val="clear" w:color="auto" w:fill="FDE6CC"/>
            <w:tcBorders>
              <w:top w:val="single" w:sz="2" w:color="808080"/>
              <w:left w:val="single" w:sz="2" w:color="808080"/>
              <w:bottom w:val="single" w:sz="2" w:color="808080"/>
              <w:right w:val="single" w:sz="2" w:color="808080"/>
            </w:tcBorders>
          </w:tcPr>
          <w:p>
            <w:r/>
            <w:r>
              <w:rPr>
                <w:rFonts w:ascii="Calibri" w:hAnsi="Calibri"/>
                <w:b/>
                <w:sz w:val="24"/>
              </w:rPr>
              <w:t>👉 Empfehlung</w:t>
              <w:br/>
            </w:r>
          </w:p>
          <w:p>
            <w:r>
              <w:rPr>
                <w:rFonts w:ascii="Calibri" w:hAnsi="Calibri"/>
                <w:sz w:val="21"/>
              </w:rPr>
              <w:t>Klare Empfehlung: ServiceNow SPM Pro als strategische PPM-Zielplattform. Add-on zur bestehenden SNOW-Basis statt Neu-Vendor mit Integrationsaufwand.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2C3E50"/>
          <w:sz w:val="30"/>
        </w:rPr>
        <w:t>Argumente in Vorstands-Reihenfolge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  <w:shd w:val="clear" w:color="auto" w:fill="2C3E5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#</w:t>
            </w:r>
          </w:p>
        </w:tc>
        <w:tc>
          <w:tcPr>
            <w:tcW w:type="dxa" w:w="5953"/>
            <w:shd w:val="clear" w:color="auto" w:fill="2C3E5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Argument</w:t>
            </w:r>
          </w:p>
        </w:tc>
        <w:tc>
          <w:tcPr>
            <w:tcW w:type="dxa" w:w="3118"/>
            <w:shd w:val="clear" w:color="auto" w:fill="2C3E5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Impact</w:t>
            </w:r>
          </w:p>
        </w:tc>
      </w:tr>
      <w:tr>
        <w:tc>
          <w:tcPr>
            <w:tcW w:type="dxa" w:w="567"/>
            <w:shd w:val="clear" w:color="auto" w:fill="F7F7F7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/>
                <w:b/>
                <w:i w:val="0"/>
                <w:sz w:val="21"/>
              </w:rPr>
              <w:t>1</w:t>
            </w:r>
          </w:p>
        </w:tc>
        <w:tc>
          <w:tcPr>
            <w:tcW w:type="dxa" w:w="5953"/>
            <w:shd w:val="clear" w:color="auto" w:fill="F7F7F7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Datenkontinuität — Demand fließt bereits in SNOW → Projekt-Umsetzung ohne Bruch/Bridge</w:t>
            </w:r>
          </w:p>
        </w:tc>
        <w:tc>
          <w:tcPr>
            <w:tcW w:type="dxa" w:w="3118"/>
            <w:shd w:val="clear" w:color="auto" w:fill="F7F7F7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Sofortiger Prozess-Fluss Demand → Projekt</w:t>
            </w:r>
          </w:p>
        </w:tc>
      </w:tr>
      <w:tr>
        <w:tc>
          <w:tcPr>
            <w:tcW w:type="dxa" w:w="567"/>
            <w:shd w:val="clear" w:color="auto" w:fill="EEF1F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/>
                <w:b/>
                <w:i w:val="0"/>
                <w:sz w:val="21"/>
              </w:rPr>
              <w:t>2</w:t>
            </w:r>
          </w:p>
        </w:tc>
        <w:tc>
          <w:tcPr>
            <w:tcW w:type="dxa" w:w="5953"/>
            <w:shd w:val="clear" w:color="auto" w:fill="EEF1F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Betriebskontinuität — ITSM-Team seit 12 Jahren im Haus, keine neue Vendor-Beziehung nötig</w:t>
            </w:r>
          </w:p>
        </w:tc>
        <w:tc>
          <w:tcPr>
            <w:tcW w:type="dxa" w:w="3118"/>
            <w:shd w:val="clear" w:color="auto" w:fill="EEF1F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~ 2 FTE eingespart vs. neuer Vendor</w:t>
            </w:r>
          </w:p>
        </w:tc>
      </w:tr>
      <w:tr>
        <w:tc>
          <w:tcPr>
            <w:tcW w:type="dxa" w:w="567"/>
            <w:shd w:val="clear" w:color="auto" w:fill="F7F7F7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/>
                <w:b/>
                <w:i w:val="0"/>
                <w:sz w:val="21"/>
              </w:rPr>
              <w:t>3</w:t>
            </w:r>
          </w:p>
        </w:tc>
        <w:tc>
          <w:tcPr>
            <w:tcW w:type="dxa" w:w="5953"/>
            <w:shd w:val="clear" w:color="auto" w:fill="F7F7F7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UI-Konsistenz — Anwender kennen SNOW-Look, deutlich geringerer Change-Aufwand</w:t>
            </w:r>
          </w:p>
        </w:tc>
        <w:tc>
          <w:tcPr>
            <w:tcW w:type="dxa" w:w="3118"/>
            <w:shd w:val="clear" w:color="auto" w:fill="F7F7F7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~ 200 k€ eingesparte Trainings</w:t>
            </w:r>
          </w:p>
        </w:tc>
      </w:tr>
      <w:tr>
        <w:tc>
          <w:tcPr>
            <w:tcW w:type="dxa" w:w="567"/>
            <w:shd w:val="clear" w:color="auto" w:fill="EEF1F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/>
                <w:b/>
                <w:i w:val="0"/>
                <w:sz w:val="21"/>
              </w:rPr>
              <w:t>4</w:t>
            </w:r>
          </w:p>
        </w:tc>
        <w:tc>
          <w:tcPr>
            <w:tcW w:type="dxa" w:w="5953"/>
            <w:shd w:val="clear" w:color="auto" w:fill="EEF1F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TCO — Add-on zur bestehenden Plattform statt Zweitvendor + Integration</w:t>
            </w:r>
          </w:p>
        </w:tc>
        <w:tc>
          <w:tcPr>
            <w:tcW w:type="dxa" w:w="3118"/>
            <w:shd w:val="clear" w:color="auto" w:fill="EEF1F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~ 1,5–2,5 M€/5J. günstiger als Planisware</w:t>
            </w:r>
          </w:p>
        </w:tc>
      </w:tr>
      <w:tr>
        <w:tc>
          <w:tcPr>
            <w:tcW w:type="dxa" w:w="567"/>
            <w:shd w:val="clear" w:color="auto" w:fill="F7F7F7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/>
                <w:b/>
                <w:i w:val="0"/>
                <w:sz w:val="21"/>
              </w:rPr>
              <w:t>5</w:t>
            </w:r>
          </w:p>
        </w:tc>
        <w:tc>
          <w:tcPr>
            <w:tcW w:type="dxa" w:w="5953"/>
            <w:shd w:val="clear" w:color="auto" w:fill="F7F7F7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KI-Roadmap — Now Assist skaliert über alle Bereiche, nicht nur PM</w:t>
            </w:r>
          </w:p>
        </w:tc>
        <w:tc>
          <w:tcPr>
            <w:tcW w:type="dxa" w:w="3118"/>
            <w:shd w:val="clear" w:color="auto" w:fill="F7F7F7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Zukunftsinvestition schützt</w:t>
            </w:r>
          </w:p>
        </w:tc>
      </w:tr>
      <w:tr>
        <w:tc>
          <w:tcPr>
            <w:tcW w:type="dxa" w:w="567"/>
            <w:shd w:val="clear" w:color="auto" w:fill="EEF1F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/>
                <w:b/>
                <w:i w:val="0"/>
                <w:sz w:val="21"/>
              </w:rPr>
              <w:t>6</w:t>
            </w:r>
          </w:p>
        </w:tc>
        <w:tc>
          <w:tcPr>
            <w:tcW w:type="dxa" w:w="5953"/>
            <w:shd w:val="clear" w:color="auto" w:fill="EEF1F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App Engine für PEP — spezifische EWW-Anforderungen ohne 3rd-Party abbildbar</w:t>
            </w:r>
          </w:p>
        </w:tc>
        <w:tc>
          <w:tcPr>
            <w:tcW w:type="dxa" w:w="3118"/>
            <w:shd w:val="clear" w:color="auto" w:fill="EEF1F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Kein Doppel-System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2C3E50"/>
          <w:sz w:val="30"/>
        </w:rPr>
        <w:t>Ehrlicher Vorbehalt (Vorstands-tauglich)</w:t>
      </w:r>
    </w:p>
    <w:p>
      <w:pPr>
        <w:spacing w:before="280" w:after="120"/>
      </w:pPr>
      <w:r>
        <w:rPr>
          <w:rFonts w:ascii="Calibri" w:hAnsi="Calibri"/>
          <w:b/>
          <w:color w:val="2C3E50"/>
          <w:sz w:val="24"/>
        </w:rPr>
        <w:t>Engineering-PM-Tiefe (EWW / R&amp;D)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Für die absolute Spitzentiefe im Stage-Gate-PEP (Bereich Entwicklung Waldwirtschaft, EWW) ist Planisware technisch weiter. Wenn STIHL in EWW industrialisierte Produktentwicklung mit &gt; 100 parallelen R&amp;D-Projekten hat und dort maximale Reife will → hybrider Ansatz denkbar: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ServiceNow SPM Pro: Konzern-Portfolio, Demand, Strategy, IT/Operations-PM, Reporting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Planisware Orchestra (nur EWW): Deep-R&amp;D-PEP-Steuerung mit Übergabe an SNOW für Portfolio-Sicht</w:t>
      </w:r>
    </w:p>
    <w:p>
      <w:pPr>
        <w:spacing w:after="120"/>
      </w:pPr>
      <w:r>
        <w:rPr>
          <w:rFonts w:ascii="Calibri" w:hAnsi="Calibri"/>
          <w:b w:val="0"/>
          <w:i/>
          <w:color w:val="B91C1C"/>
          <w:sz w:val="22"/>
        </w:rPr>
        <w:t>Aber: dieser Split verdoppelt Betriebskosten. Nur sinnvoll, wenn App-Engine-Erweiterung nachweislich nicht ausreicht.</w:t>
      </w:r>
    </w:p>
    <w:p>
      <w:r>
        <w:br w:type="page"/>
      </w:r>
    </w:p>
    <w:p>
      <w:pPr>
        <w:spacing w:before="360" w:after="120"/>
      </w:pPr>
      <w:r>
        <w:rPr>
          <w:rFonts w:ascii="Calibri" w:hAnsi="Calibri"/>
          <w:b/>
          <w:color w:val="F07F12"/>
          <w:sz w:val="40"/>
        </w:rPr>
        <w:t>Migrations-Empfehlung von altem PM-Tool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Statt „Big Bang" auf Planisware — schrittweise Erweiterung ServiceNow SPM Pro: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F07F12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Phase</w:t>
            </w:r>
          </w:p>
        </w:tc>
        <w:tc>
          <w:tcPr>
            <w:tcW w:type="dxa" w:w="1417"/>
            <w:shd w:val="clear" w:color="auto" w:fill="F07F12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Dauer</w:t>
            </w:r>
          </w:p>
        </w:tc>
        <w:tc>
          <w:tcPr>
            <w:tcW w:type="dxa" w:w="6236"/>
            <w:shd w:val="clear" w:color="auto" w:fill="F07F12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Scope</w:t>
            </w:r>
          </w:p>
        </w:tc>
      </w:tr>
      <w:tr>
        <w:tc>
          <w:tcPr>
            <w:tcW w:type="dxa" w:w="1984"/>
            <w:shd w:val="clear" w:color="auto" w:fill="F7F7F7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/>
                <w:b/>
                <w:i w:val="0"/>
                <w:sz w:val="21"/>
              </w:rPr>
              <w:t>Phase 0 (heute)</w:t>
            </w:r>
          </w:p>
        </w:tc>
        <w:tc>
          <w:tcPr>
            <w:tcW w:type="dxa" w:w="1417"/>
            <w:shd w:val="clear" w:color="auto" w:fill="F7F7F7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läuft</w:t>
            </w:r>
          </w:p>
        </w:tc>
        <w:tc>
          <w:tcPr>
            <w:tcW w:type="dxa" w:w="6236"/>
            <w:shd w:val="clear" w:color="auto" w:fill="F7F7F7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Demand-Management bereits aktiv</w:t>
            </w:r>
          </w:p>
        </w:tc>
      </w:tr>
      <w:tr>
        <w:tc>
          <w:tcPr>
            <w:tcW w:type="dxa" w:w="1984"/>
            <w:shd w:val="clear" w:color="auto" w:fill="EEF1F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/>
                <w:b/>
                <w:i w:val="0"/>
                <w:sz w:val="21"/>
              </w:rPr>
              <w:t>Phase 1</w:t>
            </w:r>
          </w:p>
        </w:tc>
        <w:tc>
          <w:tcPr>
            <w:tcW w:type="dxa" w:w="1417"/>
            <w:shd w:val="clear" w:color="auto" w:fill="EEF1F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12 Monate</w:t>
            </w:r>
          </w:p>
        </w:tc>
        <w:tc>
          <w:tcPr>
            <w:tcW w:type="dxa" w:w="6236"/>
            <w:shd w:val="clear" w:color="auto" w:fill="EEF1F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Portfolio + Strategy + Standard-PM (Gantt, Ressourcen, Finanzen) → Ablöse PIT/MSPO für Standard-Projekte</w:t>
            </w:r>
          </w:p>
        </w:tc>
      </w:tr>
      <w:tr>
        <w:tc>
          <w:tcPr>
            <w:tcW w:type="dxa" w:w="1984"/>
            <w:shd w:val="clear" w:color="auto" w:fill="F7F7F7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/>
                <w:b/>
                <w:i w:val="0"/>
                <w:sz w:val="21"/>
              </w:rPr>
              <w:t>Phase 2</w:t>
            </w:r>
          </w:p>
        </w:tc>
        <w:tc>
          <w:tcPr>
            <w:tcW w:type="dxa" w:w="1417"/>
            <w:shd w:val="clear" w:color="auto" w:fill="F7F7F7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12 Monate</w:t>
            </w:r>
          </w:p>
        </w:tc>
        <w:tc>
          <w:tcPr>
            <w:tcW w:type="dxa" w:w="6236"/>
            <w:shd w:val="clear" w:color="auto" w:fill="F7F7F7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EAP/Agile + tiefes Ressourcen-Management + PEP über App Engine → Ablöse EWW-Spezifika (evtl. mit Planisware-Hedge-Bewertung)</w:t>
            </w:r>
          </w:p>
        </w:tc>
      </w:tr>
      <w:tr>
        <w:tc>
          <w:tcPr>
            <w:tcW w:type="dxa" w:w="1984"/>
            <w:shd w:val="clear" w:color="auto" w:fill="EEF1F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/>
                <w:b/>
                <w:i w:val="0"/>
                <w:sz w:val="21"/>
              </w:rPr>
              <w:t>Phase 3+</w:t>
            </w:r>
          </w:p>
        </w:tc>
        <w:tc>
          <w:tcPr>
            <w:tcW w:type="dxa" w:w="1417"/>
            <w:shd w:val="clear" w:color="auto" w:fill="EEF1F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rollierend</w:t>
            </w:r>
          </w:p>
        </w:tc>
        <w:tc>
          <w:tcPr>
            <w:tcW w:type="dxa" w:w="6236"/>
            <w:shd w:val="clear" w:color="auto" w:fill="EEF1F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HR-SD, CSM, GRC — SNOW-Plattform breiter nutzen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972"/>
            <w:shd w:val="clear" w:color="auto" w:fill="FFF6D5"/>
            <w:tcBorders>
              <w:top w:val="single" w:sz="2" w:color="808080"/>
              <w:left w:val="single" w:sz="2" w:color="808080"/>
              <w:bottom w:val="single" w:sz="2" w:color="808080"/>
              <w:right w:val="single" w:sz="2" w:color="808080"/>
            </w:tcBorders>
          </w:tcPr>
          <w:p>
            <w:r/>
            <w:r>
              <w:rPr>
                <w:rFonts w:ascii="Calibri" w:hAnsi="Calibri"/>
                <w:b/>
                <w:sz w:val="24"/>
              </w:rPr>
              <w:t>⚠ Break-Punkt für „Doch Planisware"-Diskussion</w:t>
              <w:br/>
            </w:r>
          </w:p>
          <w:p>
            <w:r>
              <w:rPr>
                <w:rFonts w:ascii="Calibri" w:hAnsi="Calibri"/>
                <w:sz w:val="21"/>
              </w:rPr>
              <w:t>Nach Phase 1, wenn sich zeigt, dass App Engine PEP nicht in vernünftiger Tiefe abbildbar ist — dann Planisware Orchestra als spezialisiertes Engineering-PM in Betracht ziehen. Bis dahin: Standard-First mit klarer Migration-Klausel.</w:t>
            </w:r>
          </w:p>
        </w:tc>
      </w:tr>
    </w:tbl>
    <w:p/>
    <w:p>
      <w:pPr>
        <w:spacing w:before="360" w:after="120"/>
      </w:pPr>
      <w:r>
        <w:rPr>
          <w:rFonts w:ascii="Calibri" w:hAnsi="Calibri"/>
          <w:b/>
          <w:color w:val="F07F12"/>
          <w:sz w:val="40"/>
        </w:rPr>
        <w:t>Fazit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Für Unternehmen mit bestehender ServiceNow-Basis wie STIHL überwiegen die Vorteile einer SNOW SPM Pro-Migration klar die Funktionsdefizite gegenüber dem spezialisierten Engineering-PM-Tool Planisware. Die entscheidenden Argumente sind nicht in der PM-Funktionstiefe zu finden, sondern in Plattform-Integration, Betriebskosten, Zeit-bis-Nutzen und der Konsistenz der Anwenderführung.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Der Gartner APMR MQ 2026 bestätigt Planisware als Leader im reinen APMR-Markt. ServiceNow ist in diesem MQ per Ausschlussregel nicht enthalten, weil es als Plattform-Vendor mit APMR-Modul kategorisiert wird — genau die Eigenschaft, die im STIHL-Kontext den ausschlaggebenden Mehrwert liefert.</w:t>
      </w:r>
    </w:p>
    <w:p>
      <w:pPr>
        <w:spacing w:after="240"/>
      </w:pPr>
      <w:r>
        <w:rPr>
          <w:rFonts w:ascii="Calibri" w:hAnsi="Calibri"/>
          <w:b w:val="0"/>
          <w:i w:val="0"/>
          <w:sz w:val="22"/>
        </w:rPr>
        <w:t>Planisware bleibt technisch überlegen in den tiefsten R&amp;D-Stage-Gate-Prozessen und sollte als Hedge-Option in der Detail-Auftragsklärung (Vorgang 3 im Vorstandsprotokoll) bewertet werden — jedoch bewusst als Ergänzung für den engen EWW-Bereich, nicht als Konzern-Ziel-Plattform.</w:t>
      </w:r>
    </w:p>
    <w:p>
      <w:pPr>
        <w:pBdr>
          <w:top w:val="single" w:sz="4" w:space="1" w:color="D1D5DB"/>
        </w:pBdr>
      </w:pPr>
    </w:p>
    <w:p>
      <w:r>
        <w:rPr>
          <w:rFonts w:ascii="Calibri" w:hAnsi="Calibri"/>
          <w:i/>
          <w:color w:val="4B5563"/>
          <w:sz w:val="17"/>
        </w:rPr>
        <w:t>Quellen: Gartner Magic Quadrant for Adaptive Project Management and Reporting (APMR), 3. August 2026, ID G00842775 (Clegg, Jackson, Ali, Stang, Choi); Vendor-Aussagen zu ServiceNow SPM Pro basierend auf öffentlich verfügbaren Produktinformationen und STIHL-interner Marktbeobachtung. Bindende Bewertung nur nach Detail-Prüfung im Rahmen des RFP-Prozesses (Vorgang 6, Q4/2026).</w:t>
      </w:r>
    </w:p>
    <w:p>
      <w:r>
        <w:rPr>
          <w:rFonts w:ascii="Calibri" w:hAnsi="Calibri"/>
          <w:i/>
          <w:color w:val="4B5563"/>
          <w:sz w:val="17"/>
        </w:rPr>
        <w:t>Autoren: Alex Passaro · Torsten Zahn  ·  Stand: 15.10.2026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