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F07F12"/>
          <w:sz w:val="48"/>
        </w:rPr>
        <w:t>ServiceNow SPM Pro vs. Planview vs. Planisware</w:t>
      </w:r>
    </w:p>
    <w:p>
      <w:r>
        <w:rPr>
          <w:rFonts w:ascii="Calibri" w:hAnsi="Calibri"/>
          <w:i/>
          <w:color w:val="4B5563"/>
          <w:sz w:val="26"/>
        </w:rPr>
        <w:t>Vergleich und Empfehlung im Kontext einer bestehenden ServiceNow-Basis</w:t>
      </w:r>
    </w:p>
    <w:p>
      <w:pPr>
        <w:spacing w:after="240"/>
      </w:pPr>
      <w:r>
        <w:rPr>
          <w:i/>
          <w:color w:val="4B5563"/>
          <w:sz w:val="20"/>
        </w:rPr>
        <w:t>Kontext: Gartner Magic Quadrant für Adaptive Project Management and Reporting (Juni 2026)  ·  Fokus: Projekt-Management-Fähigkeiten  ·  Empfehlung für Migration von altem PM-Tool</w:t>
      </w:r>
    </w:p>
    <w:p>
      <w:pPr>
        <w:pBdr>
          <w:bottom w:val="single" w:sz="8" w:space="1" w:color="F07F12"/>
        </w:pBdr>
      </w:pPr>
    </w:p>
    <w:p>
      <w:pPr>
        <w:spacing w:before="360" w:after="120"/>
      </w:pPr>
      <w:r>
        <w:rPr>
          <w:rFonts w:ascii="Calibri" w:hAnsi="Calibri"/>
          <w:b/>
          <w:color w:val="F07F12"/>
          <w:sz w:val="40"/>
        </w:rPr>
        <w:t>Executive Summary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Die Gartner-Leader Planview und Planisware sind im reinen Projekt-Management (Gantt, Ressourcen, Finanzen) auf höchstem Niveau, aber Insellösungen. ServiceNow SPM Pro liegt im Projekt-Management etwas dahinter, gewinnt jedoch durch Plattform-Integration, KI und Extensibility deutlich an Boden.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Für ein Unternehmen mit bestehender ServiceNow-Basis und aktivem SPM Demand-Management ist die klare Empfehlung: ServiceNow SPM Pro als Ziel-Plattform, ergänzt durch App Engine für spezifische Prozesse (z.B. Stage-Gate-PEP). Ein hybrider Ansatz mit Planisware im R&amp;D-Bereich bleibt als Hedge denkbar, ist aber wirtschaftlich meist unterlegen.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val="clear" w:color="auto" w:fill="DDF1DE"/>
            <w:tcBorders>
              <w:top w:val="single" w:sz="2" w:color="808080"/>
              <w:left w:val="single" w:sz="2" w:color="808080"/>
              <w:bottom w:val="single" w:sz="2" w:color="808080"/>
              <w:right w:val="single" w:sz="2" w:color="808080"/>
            </w:tcBorders>
          </w:tcPr>
          <w:p>
            <w:r/>
            <w:r>
              <w:rPr>
                <w:rFonts w:ascii="Calibri" w:hAnsi="Calibri"/>
                <w:b/>
                <w:sz w:val="24"/>
              </w:rPr>
              <w:t>🎯 Kernempfehlung</w:t>
              <w:br/>
            </w:r>
          </w:p>
          <w:p>
            <w:r>
              <w:rPr>
                <w:rFonts w:ascii="Calibri" w:hAnsi="Calibri"/>
                <w:sz w:val="21"/>
              </w:rPr>
              <w:t>ServiceNow SPM Pro empfohlen — Datenkontinuität, Betriebskontinuität und Time-to-Value überwiegen deutlich die kleinen Funktionsvorteile der spezialisierten PM-Tools.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F07F12"/>
          <w:sz w:val="40"/>
        </w:rPr>
        <w:t>Steckbriefe der drei Player</w:t>
      </w:r>
    </w:p>
    <w:p>
      <w:pPr>
        <w:spacing w:before="280" w:after="120"/>
      </w:pPr>
      <w:r>
        <w:rPr>
          <w:rFonts w:ascii="Calibri" w:hAnsi="Calibri"/>
          <w:b/>
          <w:color w:val="2C3E50"/>
          <w:sz w:val="30"/>
        </w:rPr>
        <w:t>🏆 Planview — Leader mit höchster „Ability to Execute"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Historisch stärkster Enterprise-PPM-Player (Ex-Planview Enterprise One, AdaptiveWork)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Portfolio: Planview Portfolios, AdaptiveWork (Ex-Clarizen), LeanKit (Kanban), ProjectPlace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Kernstärken: Ressourcen-Optimierung, Kapazitätsplanung, Multi-Portfolio-Governance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Zielgruppe: große Enterprises mit reifem PMO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Preis-Level: hoch — komplexe Implementierung (12–18 Monate)</w:t>
      </w:r>
    </w:p>
    <w:p>
      <w:pPr>
        <w:spacing w:before="280" w:after="120"/>
      </w:pPr>
      <w:r>
        <w:rPr>
          <w:rFonts w:ascii="Calibri" w:hAnsi="Calibri"/>
          <w:b/>
          <w:color w:val="2C3E50"/>
          <w:sz w:val="30"/>
        </w:rPr>
        <w:t>🎯 Planisware — Leader mit höchster „Completeness of Vision"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Referenz-Tool für Engineering-/R&amp;D-Projekte (Stage-Gate, PEP)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Kernstärken: Produktentwicklung, komplexe Ressourcen×Finanz-Verzahnung, Portfolio-Simulationen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Zielgruppe: R&amp;D-getriebene Unternehmen (Automotive, Pharma, Industrie — strukturell nah an STIHL)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Preis-Level: sehr hoch, personell-hungrig — dedizierte Experten nötig (18–24 Monate)</w:t>
      </w:r>
    </w:p>
    <w:p>
      <w:pPr>
        <w:spacing w:before="280" w:after="120"/>
      </w:pPr>
      <w:r>
        <w:rPr>
          <w:rFonts w:ascii="Calibri" w:hAnsi="Calibri"/>
          <w:b/>
          <w:color w:val="2C3E50"/>
          <w:sz w:val="30"/>
        </w:rPr>
        <w:t>🔷 ServiceNow SPM Pro — Leader im SPM Magic Quadrant (2024/2025)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Teil der Now Platform, native Integration mit ITSM, ITOM, HR, CSM, GRC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Kernstärken: Plattform-Integration, Demand-to-Delivery, App Engine, Now Assist (KI)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Zielgruppe: Enterprises mit vorhandener SNOW-Basis, Fokus auf End-to-End-Digitalisierung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Preis-Level: mittel bis hoch, aber Skaleneffekt bei bestehendem SNOW-Vertrag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F07F12"/>
          <w:sz w:val="40"/>
        </w:rPr>
        <w:t>Head-to-Head: Projekt-Management-Fähigkeiten</w:t>
      </w:r>
    </w:p>
    <w:p>
      <w:pPr>
        <w:spacing w:after="200"/>
      </w:pPr>
      <w:r>
        <w:rPr>
          <w:rFonts w:ascii="Calibri" w:hAnsi="Calibri"/>
          <w:b w:val="0"/>
          <w:i/>
          <w:color w:val="4B5563"/>
          <w:sz w:val="22"/>
        </w:rPr>
        <w:t>Die folgende Matrix vergleicht die drei Player anhand von 16 Kriterien im Kontext Projekt-Management (5 Sterne = Best-in-Class).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252"/>
            <w:shd w:val="clear" w:color="auto" w:fill="2C3E5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Fähigkeit</w:t>
            </w:r>
          </w:p>
        </w:tc>
        <w:tc>
          <w:tcPr>
            <w:tcW w:type="dxa" w:w="1701"/>
            <w:shd w:val="clear" w:color="auto" w:fill="2C3E5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Planview</w:t>
            </w:r>
          </w:p>
        </w:tc>
        <w:tc>
          <w:tcPr>
            <w:tcW w:type="dxa" w:w="1701"/>
            <w:shd w:val="clear" w:color="auto" w:fill="2C3E5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Planisware</w:t>
            </w:r>
          </w:p>
        </w:tc>
        <w:tc>
          <w:tcPr>
            <w:tcW w:type="dxa" w:w="1984"/>
            <w:shd w:val="clear" w:color="auto" w:fill="2C3E5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ServiceNow SPM Pro</w:t>
            </w:r>
          </w:p>
        </w:tc>
      </w:tr>
      <w:tr>
        <w:tc>
          <w:tcPr>
            <w:tcW w:type="dxa" w:w="4252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Klassische Projektplanung (Gantt, WBS, Meilensteine)</w:t>
            </w:r>
          </w:p>
        </w:tc>
        <w:tc>
          <w:tcPr>
            <w:tcW w:type="dxa" w:w="170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170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1984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</w:t>
            </w:r>
          </w:p>
        </w:tc>
      </w:tr>
      <w:tr>
        <w:tc>
          <w:tcPr>
            <w:tcW w:type="dxa" w:w="4252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Multi-Projekt-Abhängigkeiten</w:t>
            </w:r>
          </w:p>
        </w:tc>
        <w:tc>
          <w:tcPr>
            <w:tcW w:type="dxa" w:w="170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170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1984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</w:t>
            </w:r>
          </w:p>
        </w:tc>
      </w:tr>
      <w:tr>
        <w:tc>
          <w:tcPr>
            <w:tcW w:type="dxa" w:w="4252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Ressourcen-Management (Skills, Capacity, Optimierung)</w:t>
            </w:r>
          </w:p>
        </w:tc>
        <w:tc>
          <w:tcPr>
            <w:tcW w:type="dxa" w:w="170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170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1984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</w:t>
            </w:r>
          </w:p>
        </w:tc>
      </w:tr>
      <w:tr>
        <w:tc>
          <w:tcPr>
            <w:tcW w:type="dxa" w:w="4252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Was-wäre-wenn / Szenario-Analysen</w:t>
            </w:r>
          </w:p>
        </w:tc>
        <w:tc>
          <w:tcPr>
            <w:tcW w:type="dxa" w:w="170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170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1984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 (Pro)</w:t>
            </w:r>
          </w:p>
        </w:tc>
      </w:tr>
      <w:tr>
        <w:tc>
          <w:tcPr>
            <w:tcW w:type="dxa" w:w="4252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Finanz-Management (Kosten, Forecasts, Investment)</w:t>
            </w:r>
          </w:p>
        </w:tc>
        <w:tc>
          <w:tcPr>
            <w:tcW w:type="dxa" w:w="170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170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1984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</w:t>
            </w:r>
          </w:p>
        </w:tc>
      </w:tr>
      <w:tr>
        <w:tc>
          <w:tcPr>
            <w:tcW w:type="dxa" w:w="4252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Programm-Management</w:t>
            </w:r>
          </w:p>
        </w:tc>
        <w:tc>
          <w:tcPr>
            <w:tcW w:type="dxa" w:w="170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170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1984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</w:t>
            </w:r>
          </w:p>
        </w:tc>
      </w:tr>
      <w:tr>
        <w:tc>
          <w:tcPr>
            <w:tcW w:type="dxa" w:w="4252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Stage-Gate / PEP-Prozesse</w:t>
            </w:r>
          </w:p>
        </w:tc>
        <w:tc>
          <w:tcPr>
            <w:tcW w:type="dxa" w:w="170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</w:t>
            </w:r>
          </w:p>
        </w:tc>
        <w:tc>
          <w:tcPr>
            <w:tcW w:type="dxa" w:w="170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1984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 / ★★★★ mit App Engine</w:t>
            </w:r>
          </w:p>
        </w:tc>
      </w:tr>
      <w:tr>
        <w:tc>
          <w:tcPr>
            <w:tcW w:type="dxa" w:w="4252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Agile / Hybrid-PM (SAFe, Scrum)</w:t>
            </w:r>
          </w:p>
        </w:tc>
        <w:tc>
          <w:tcPr>
            <w:tcW w:type="dxa" w:w="170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170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</w:t>
            </w:r>
          </w:p>
        </w:tc>
        <w:tc>
          <w:tcPr>
            <w:tcW w:type="dxa" w:w="1984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 (EAP Pro)</w:t>
            </w:r>
          </w:p>
        </w:tc>
      </w:tr>
      <w:tr>
        <w:tc>
          <w:tcPr>
            <w:tcW w:type="dxa" w:w="4252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Reporting &amp; Live-Dashboards</w:t>
            </w:r>
          </w:p>
        </w:tc>
        <w:tc>
          <w:tcPr>
            <w:tcW w:type="dxa" w:w="170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170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</w:t>
            </w:r>
          </w:p>
        </w:tc>
        <w:tc>
          <w:tcPr>
            <w:tcW w:type="dxa" w:w="1984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</w:tr>
      <w:tr>
        <w:tc>
          <w:tcPr>
            <w:tcW w:type="dxa" w:w="4252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KI / GenAI (Vorhersagen, Auto-Reports)</w:t>
            </w:r>
          </w:p>
        </w:tc>
        <w:tc>
          <w:tcPr>
            <w:tcW w:type="dxa" w:w="170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</w:t>
            </w:r>
          </w:p>
        </w:tc>
        <w:tc>
          <w:tcPr>
            <w:tcW w:type="dxa" w:w="170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</w:t>
            </w:r>
          </w:p>
        </w:tc>
        <w:tc>
          <w:tcPr>
            <w:tcW w:type="dxa" w:w="1984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 (Now Assist)</w:t>
            </w:r>
          </w:p>
        </w:tc>
      </w:tr>
      <w:tr>
        <w:tc>
          <w:tcPr>
            <w:tcW w:type="dxa" w:w="4252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Zeiterfassung + Approval</w:t>
            </w:r>
          </w:p>
        </w:tc>
        <w:tc>
          <w:tcPr>
            <w:tcW w:type="dxa" w:w="170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</w:t>
            </w:r>
          </w:p>
        </w:tc>
        <w:tc>
          <w:tcPr>
            <w:tcW w:type="dxa" w:w="170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1984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</w:t>
            </w:r>
          </w:p>
        </w:tc>
      </w:tr>
      <w:tr>
        <w:tc>
          <w:tcPr>
            <w:tcW w:type="dxa" w:w="4252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Integration mit ITSM / bestehende SNOW-Landschaft</w:t>
            </w:r>
          </w:p>
        </w:tc>
        <w:tc>
          <w:tcPr>
            <w:tcW w:type="dxa" w:w="170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</w:t>
            </w:r>
          </w:p>
        </w:tc>
        <w:tc>
          <w:tcPr>
            <w:tcW w:type="dxa" w:w="170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</w:t>
            </w:r>
          </w:p>
        </w:tc>
        <w:tc>
          <w:tcPr>
            <w:tcW w:type="dxa" w:w="1984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 (nativ)</w:t>
            </w:r>
          </w:p>
        </w:tc>
      </w:tr>
      <w:tr>
        <w:tc>
          <w:tcPr>
            <w:tcW w:type="dxa" w:w="4252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Extensibility / Low-Code Custom</w:t>
            </w:r>
          </w:p>
        </w:tc>
        <w:tc>
          <w:tcPr>
            <w:tcW w:type="dxa" w:w="170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</w:t>
            </w:r>
          </w:p>
        </w:tc>
        <w:tc>
          <w:tcPr>
            <w:tcW w:type="dxa" w:w="170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</w:t>
            </w:r>
          </w:p>
        </w:tc>
        <w:tc>
          <w:tcPr>
            <w:tcW w:type="dxa" w:w="1984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 (App Engine)</w:t>
            </w:r>
          </w:p>
        </w:tc>
      </w:tr>
      <w:tr>
        <w:tc>
          <w:tcPr>
            <w:tcW w:type="dxa" w:w="4252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User Experience / Familiarität bei SNOW-Kunden</w:t>
            </w:r>
          </w:p>
        </w:tc>
        <w:tc>
          <w:tcPr>
            <w:tcW w:type="dxa" w:w="170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</w:t>
            </w:r>
          </w:p>
        </w:tc>
        <w:tc>
          <w:tcPr>
            <w:tcW w:type="dxa" w:w="170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</w:t>
            </w:r>
          </w:p>
        </w:tc>
        <w:tc>
          <w:tcPr>
            <w:tcW w:type="dxa" w:w="1984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</w:t>
            </w:r>
          </w:p>
        </w:tc>
      </w:tr>
      <w:tr>
        <w:tc>
          <w:tcPr>
            <w:tcW w:type="dxa" w:w="4252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Time-to-Value bei bestehender SNOW-Basis</w:t>
            </w:r>
          </w:p>
        </w:tc>
        <w:tc>
          <w:tcPr>
            <w:tcW w:type="dxa" w:w="170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</w:t>
            </w:r>
          </w:p>
        </w:tc>
        <w:tc>
          <w:tcPr>
            <w:tcW w:type="dxa" w:w="1701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</w:t>
            </w:r>
          </w:p>
        </w:tc>
        <w:tc>
          <w:tcPr>
            <w:tcW w:type="dxa" w:w="1984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★★★★★</w:t>
            </w:r>
          </w:p>
        </w:tc>
      </w:tr>
      <w:tr>
        <w:tc>
          <w:tcPr>
            <w:tcW w:type="dxa" w:w="4252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TCO (5J) bei bestehender SNOW-Basis</w:t>
            </w:r>
          </w:p>
        </w:tc>
        <w:tc>
          <w:tcPr>
            <w:tcW w:type="dxa" w:w="170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</w:t>
            </w:r>
          </w:p>
        </w:tc>
        <w:tc>
          <w:tcPr>
            <w:tcW w:type="dxa" w:w="1701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</w:t>
            </w:r>
          </w:p>
        </w:tc>
        <w:tc>
          <w:tcPr>
            <w:tcW w:type="dxa" w:w="1984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★★★★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F07F12"/>
          <w:sz w:val="40"/>
        </w:rPr>
        <w:t>Fach-Bewertung nach Projekt-Management-Aspekten</w:t>
      </w:r>
    </w:p>
    <w:p>
      <w:pPr>
        <w:spacing w:before="280" w:after="120"/>
      </w:pPr>
      <w:r>
        <w:rPr>
          <w:rFonts w:ascii="Calibri" w:hAnsi="Calibri"/>
          <w:b/>
          <w:color w:val="B91C1C"/>
          <w:sz w:val="24"/>
        </w:rPr>
        <w:t>Wo Planisware technisch überlegen ist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Tiefe Stage-Gate-Prozesse für Produktentwicklung (STIHL EWW/PEP wäre hier grundsätzlich sehr gut aufgehoben)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Sehr komplexe Ressourcen×Finanz×Zeit-Verschränkungen über hunderte parallele NPD-Projekte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Referenz-Domäne: Automotive, Aerospace, Pharma R&amp;D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ABER: Insel-Betrieb, kein Anschluss an ITSM/HR/CSM</w:t>
      </w:r>
    </w:p>
    <w:p>
      <w:pPr>
        <w:spacing w:before="280" w:after="120"/>
      </w:pPr>
      <w:r>
        <w:rPr>
          <w:rFonts w:ascii="Calibri" w:hAnsi="Calibri"/>
          <w:b/>
          <w:color w:val="B91C1C"/>
          <w:sz w:val="24"/>
        </w:rPr>
        <w:t>Wo Planview überlegen ist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Portfolio-Optimierung + Kapazitätsplanung über sehr große PMOs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Skills-basierte Ressourcen-Matching (Best-in-Class)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Adaptive PM (klassisch/agil/hybrid) auf einheitlicher Datenbasis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ABER: komplexe Implementierung, hohe TCO, kein SNOW-Anschluss</w:t>
      </w:r>
    </w:p>
    <w:p>
      <w:pPr>
        <w:spacing w:before="280" w:after="120"/>
      </w:pPr>
      <w:r>
        <w:rPr>
          <w:rFonts w:ascii="Calibri" w:hAnsi="Calibri"/>
          <w:b/>
          <w:color w:val="2E7D32"/>
          <w:sz w:val="24"/>
        </w:rPr>
        <w:t>Wo ServiceNow SPM Pro überlegen ist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Plattform-Integration — Demand aus ITSM fließt direkt in Projekte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Time-to-Value — Team + Betrieb + UI bereits bekannt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KI durchgängig — Now Assist für Reporting, Risikofrüherkennung, Story Generation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Erweiterbarkeit über App Engine — spezifische PEP-Steps ohne 3rd-Party-Tool nachbaubar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Ganzheitliche Sicht über IT-Projekte, Business-Projekte, HR-Projekte, Compliance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ABER: in tiefstem Engineering-PM etwas weniger reif als spezialisierte Tools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F07F12"/>
          <w:sz w:val="40"/>
        </w:rPr>
        <w:t>Empfehlung für den STIHL-Kontext</w:t>
      </w:r>
    </w:p>
    <w:p>
      <w:pPr>
        <w:spacing w:after="200"/>
      </w:pPr>
      <w:r>
        <w:rPr>
          <w:rFonts w:ascii="Calibri" w:hAnsi="Calibri"/>
          <w:b w:val="0"/>
          <w:i/>
          <w:color w:val="4B5563"/>
          <w:sz w:val="22"/>
        </w:rPr>
        <w:t>Setup: ServiceNow seit 2014 im Einsatz  ·  SPM Demand bereits aktiv  ·  Migration von altem PM-Tool (PIT/MSPO)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val="clear" w:color="auto" w:fill="FDE6CC"/>
            <w:tcBorders>
              <w:top w:val="single" w:sz="2" w:color="808080"/>
              <w:left w:val="single" w:sz="2" w:color="808080"/>
              <w:bottom w:val="single" w:sz="2" w:color="808080"/>
              <w:right w:val="single" w:sz="2" w:color="808080"/>
            </w:tcBorders>
          </w:tcPr>
          <w:p>
            <w:r/>
            <w:r>
              <w:rPr>
                <w:rFonts w:ascii="Calibri" w:hAnsi="Calibri"/>
                <w:b/>
                <w:sz w:val="24"/>
              </w:rPr>
              <w:t>👉 Empfehlung</w:t>
              <w:br/>
            </w:r>
          </w:p>
          <w:p>
            <w:r>
              <w:rPr>
                <w:rFonts w:ascii="Calibri" w:hAnsi="Calibri"/>
                <w:sz w:val="21"/>
              </w:rPr>
              <w:t>Klare Empfehlung: ServiceNow SPM Pro als strategische PPM-Zielplattform. Add-on zur bestehenden SNOW-Basis statt Neu-Vendor mit Integrationsaufwand.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2C3E50"/>
          <w:sz w:val="30"/>
        </w:rPr>
        <w:t>Argumente in Vorstands-Reihenfolge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color="auto" w:fill="2C3E5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5953"/>
            <w:shd w:val="clear" w:color="auto" w:fill="2C3E5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Argument</w:t>
            </w:r>
          </w:p>
        </w:tc>
        <w:tc>
          <w:tcPr>
            <w:tcW w:type="dxa" w:w="3118"/>
            <w:shd w:val="clear" w:color="auto" w:fill="2C3E5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Impact</w:t>
            </w:r>
          </w:p>
        </w:tc>
      </w:tr>
      <w:tr>
        <w:tc>
          <w:tcPr>
            <w:tcW w:type="dxa" w:w="567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1</w:t>
            </w:r>
          </w:p>
        </w:tc>
        <w:tc>
          <w:tcPr>
            <w:tcW w:type="dxa" w:w="5953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Datenkontinuität — Demand fließt bereits in SNOW → Projekt-Umsetzung ohne Bruch/Bridge</w:t>
            </w:r>
          </w:p>
        </w:tc>
        <w:tc>
          <w:tcPr>
            <w:tcW w:type="dxa" w:w="3118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Sofortiger Prozess-Fluss Demand → Projekt</w:t>
            </w:r>
          </w:p>
        </w:tc>
      </w:tr>
      <w:tr>
        <w:tc>
          <w:tcPr>
            <w:tcW w:type="dxa" w:w="567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2</w:t>
            </w:r>
          </w:p>
        </w:tc>
        <w:tc>
          <w:tcPr>
            <w:tcW w:type="dxa" w:w="5953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Betriebskontinuität — ITSM-Team seit 12 Jahren im Haus, keine neue Vendor-Beziehung nötig</w:t>
            </w:r>
          </w:p>
        </w:tc>
        <w:tc>
          <w:tcPr>
            <w:tcW w:type="dxa" w:w="3118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~ 2 FTE eingespart vs. neuer Vendor</w:t>
            </w:r>
          </w:p>
        </w:tc>
      </w:tr>
      <w:tr>
        <w:tc>
          <w:tcPr>
            <w:tcW w:type="dxa" w:w="567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3</w:t>
            </w:r>
          </w:p>
        </w:tc>
        <w:tc>
          <w:tcPr>
            <w:tcW w:type="dxa" w:w="5953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UI-Konsistenz — Anwender kennen SNOW-Look, deutlich geringerer Change-Aufwand</w:t>
            </w:r>
          </w:p>
        </w:tc>
        <w:tc>
          <w:tcPr>
            <w:tcW w:type="dxa" w:w="3118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~ 200 k€ eingesparte Trainings</w:t>
            </w:r>
          </w:p>
        </w:tc>
      </w:tr>
      <w:tr>
        <w:tc>
          <w:tcPr>
            <w:tcW w:type="dxa" w:w="567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4</w:t>
            </w:r>
          </w:p>
        </w:tc>
        <w:tc>
          <w:tcPr>
            <w:tcW w:type="dxa" w:w="5953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TCO — Add-on zur bestehenden Plattform statt Zweitvendor + Integration</w:t>
            </w:r>
          </w:p>
        </w:tc>
        <w:tc>
          <w:tcPr>
            <w:tcW w:type="dxa" w:w="3118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~ 1,5–2,5 M€/5J. günstiger als Planview/Planisware</w:t>
            </w:r>
          </w:p>
        </w:tc>
      </w:tr>
      <w:tr>
        <w:tc>
          <w:tcPr>
            <w:tcW w:type="dxa" w:w="567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5</w:t>
            </w:r>
          </w:p>
        </w:tc>
        <w:tc>
          <w:tcPr>
            <w:tcW w:type="dxa" w:w="5953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KI-Roadmap — Now Assist skaliert über alle Bereiche, nicht nur PM</w:t>
            </w:r>
          </w:p>
        </w:tc>
        <w:tc>
          <w:tcPr>
            <w:tcW w:type="dxa" w:w="3118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Zukunftsinvestition schützt</w:t>
            </w:r>
          </w:p>
        </w:tc>
      </w:tr>
      <w:tr>
        <w:tc>
          <w:tcPr>
            <w:tcW w:type="dxa" w:w="567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6</w:t>
            </w:r>
          </w:p>
        </w:tc>
        <w:tc>
          <w:tcPr>
            <w:tcW w:type="dxa" w:w="5953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App Engine für PEP — spezifische EWW-Anforderungen ohne 3rd-Party abbildbar</w:t>
            </w:r>
          </w:p>
        </w:tc>
        <w:tc>
          <w:tcPr>
            <w:tcW w:type="dxa" w:w="3118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Kein Doppel-System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2C3E50"/>
          <w:sz w:val="30"/>
        </w:rPr>
        <w:t>Zwei ehrliche Vorbehalte (Vorstands-tauglich)</w:t>
      </w:r>
    </w:p>
    <w:p>
      <w:pPr>
        <w:spacing w:before="280" w:after="120"/>
      </w:pPr>
      <w:r>
        <w:rPr>
          <w:rFonts w:ascii="Calibri" w:hAnsi="Calibri"/>
          <w:b/>
          <w:color w:val="2C3E50"/>
          <w:sz w:val="24"/>
        </w:rPr>
        <w:t>1. Engineering-PM-Tiefe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Für die absolute Spitzentiefe im Stage-Gate-PEP (EWW) ist Planisware technisch weiter. Wenn STIHL in EWW industrialisierte Produktentwicklung mit &gt; 100 parallelen R&amp;D-Projekten hat und dort maximale Reife will → hybrider Ansatz denkbar: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ServiceNow SPM Pro: Konzern-Portfolio, Demand, Strategy, IT/Operations-PM, Reporting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Planisware (nur EWW): Deep-R&amp;D-PEP-Steuerung mit Übergabe an SNOW für Portfolio-Sicht</w:t>
      </w:r>
    </w:p>
    <w:p>
      <w:pPr>
        <w:spacing w:after="120"/>
      </w:pPr>
      <w:r>
        <w:rPr>
          <w:rFonts w:ascii="Calibri" w:hAnsi="Calibri"/>
          <w:b w:val="0"/>
          <w:i/>
          <w:color w:val="B91C1C"/>
          <w:sz w:val="22"/>
        </w:rPr>
        <w:t>Aber: dieser Split verdoppelt Betriebskosten. Nur sinnvoll, wenn App-Engine-Erweiterung nachweislich nicht ausreicht.</w:t>
      </w:r>
    </w:p>
    <w:p>
      <w:pPr>
        <w:spacing w:before="280" w:after="120"/>
      </w:pPr>
      <w:r>
        <w:rPr>
          <w:rFonts w:ascii="Calibri" w:hAnsi="Calibri"/>
          <w:b/>
          <w:color w:val="2C3E50"/>
          <w:sz w:val="24"/>
        </w:rPr>
        <w:t>2. Sehr komplexe Portfolio-Simulation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Für „Was-wäre-wenn-Analysen" über 500+ Projekte × Ressourcen × Finanzen simultan hat Planview noch einen kleinen Vorsprung. Für die typische STIHL-Portfolio-Größe irrelevant.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F07F12"/>
          <w:sz w:val="40"/>
        </w:rPr>
        <w:t>Migrations-Empfehlung von altem PM-Tool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Statt „Big Bang" auf Planview/Planisware — schrittweise Erweiterung ServiceNow SPM Pro: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F07F1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Phase</w:t>
            </w:r>
          </w:p>
        </w:tc>
        <w:tc>
          <w:tcPr>
            <w:tcW w:type="dxa" w:w="1417"/>
            <w:shd w:val="clear" w:color="auto" w:fill="F07F1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Dauer</w:t>
            </w:r>
          </w:p>
        </w:tc>
        <w:tc>
          <w:tcPr>
            <w:tcW w:type="dxa" w:w="6236"/>
            <w:shd w:val="clear" w:color="auto" w:fill="F07F1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Scope</w:t>
            </w:r>
          </w:p>
        </w:tc>
      </w:tr>
      <w:tr>
        <w:tc>
          <w:tcPr>
            <w:tcW w:type="dxa" w:w="1984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Phase 0 (heute)</w:t>
            </w:r>
          </w:p>
        </w:tc>
        <w:tc>
          <w:tcPr>
            <w:tcW w:type="dxa" w:w="1417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läuft</w:t>
            </w:r>
          </w:p>
        </w:tc>
        <w:tc>
          <w:tcPr>
            <w:tcW w:type="dxa" w:w="6236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Demand-Management bereits aktiv</w:t>
            </w:r>
          </w:p>
        </w:tc>
      </w:tr>
      <w:tr>
        <w:tc>
          <w:tcPr>
            <w:tcW w:type="dxa" w:w="1984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Phase 1</w:t>
            </w:r>
          </w:p>
        </w:tc>
        <w:tc>
          <w:tcPr>
            <w:tcW w:type="dxa" w:w="1417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12 Monate</w:t>
            </w:r>
          </w:p>
        </w:tc>
        <w:tc>
          <w:tcPr>
            <w:tcW w:type="dxa" w:w="6236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Portfolio + Strategy + Standard-PM (Gantt, Ressourcen, Finanzen) → Ablöse PIT/MSPO für Standard-Projekte</w:t>
            </w:r>
          </w:p>
        </w:tc>
      </w:tr>
      <w:tr>
        <w:tc>
          <w:tcPr>
            <w:tcW w:type="dxa" w:w="1984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Phase 2</w:t>
            </w:r>
          </w:p>
        </w:tc>
        <w:tc>
          <w:tcPr>
            <w:tcW w:type="dxa" w:w="1417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12 Monate</w:t>
            </w:r>
          </w:p>
        </w:tc>
        <w:tc>
          <w:tcPr>
            <w:tcW w:type="dxa" w:w="6236"/>
            <w:shd w:val="clear" w:color="auto" w:fill="F7F7F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EAP/Agile + tiefes Ressourcen-Management + PEP über App Engine → Ablöse EWW-Spezifika (evtl. mit Planisware-Hedge-Bewertung)</w:t>
            </w:r>
          </w:p>
        </w:tc>
      </w:tr>
      <w:tr>
        <w:tc>
          <w:tcPr>
            <w:tcW w:type="dxa" w:w="1984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/>
                <w:i w:val="0"/>
                <w:sz w:val="21"/>
              </w:rPr>
              <w:t>Phase 3+</w:t>
            </w:r>
          </w:p>
        </w:tc>
        <w:tc>
          <w:tcPr>
            <w:tcW w:type="dxa" w:w="1417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rollierend</w:t>
            </w:r>
          </w:p>
        </w:tc>
        <w:tc>
          <w:tcPr>
            <w:tcW w:type="dxa" w:w="6236"/>
            <w:shd w:val="clear" w:color="auto" w:fill="EEF1F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HR-SD, CSM, GRC — SNOW-Plattform breiter nutzen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val="clear" w:color="auto" w:fill="FFF6D5"/>
            <w:tcBorders>
              <w:top w:val="single" w:sz="2" w:color="808080"/>
              <w:left w:val="single" w:sz="2" w:color="808080"/>
              <w:bottom w:val="single" w:sz="2" w:color="808080"/>
              <w:right w:val="single" w:sz="2" w:color="808080"/>
            </w:tcBorders>
          </w:tcPr>
          <w:p>
            <w:r/>
            <w:r>
              <w:rPr>
                <w:rFonts w:ascii="Calibri" w:hAnsi="Calibri"/>
                <w:b/>
                <w:sz w:val="24"/>
              </w:rPr>
              <w:t>⚠ Break-Punkt für „Doch Planisware"-Diskussion</w:t>
              <w:br/>
            </w:r>
          </w:p>
          <w:p>
            <w:r>
              <w:rPr>
                <w:rFonts w:ascii="Calibri" w:hAnsi="Calibri"/>
                <w:sz w:val="21"/>
              </w:rPr>
              <w:t>Nach Phase 1, wenn sich zeigt, dass App Engine PEP nicht in vernünftiger Tiefe abbildbar ist — dann Planisware als spezialisiertes Engineering-PM in Betracht ziehen. Bis dahin: Standard-First mit klarer Migration-Klausel.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F07F12"/>
          <w:sz w:val="40"/>
        </w:rPr>
        <w:t>Fazit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Für Unternehmen mit bestehender ServiceNow-Basis wie STIHL überwiegen die Vorteile einer SNOW SPM Pro-Migration klar die Funktionsdefizite gegenüber spezialisierten PM-Tools. Die entscheidenden Argumente sind nicht in der PM-Funktionstiefe zu finden, sondern in Plattform-Integration, Betriebskosten, Zeit-bis-Nutzen und der Konsistenz der Anwenderführung.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Planisware bleibt technisch überlegen in tiefsten R&amp;D-Stage-Gate-Prozessen und sollte als Hedge-Option in der Detail-Auftragsklärung (Vorgang 3 im Vorstandsprotokoll) bewertet werden. Planview ist technisch stärker in reiner Portfolio-Optimierung, aber ohne SNOW-Vorteil zu teuer für den STIHL-Kontext.</w:t>
      </w:r>
    </w:p>
    <w:p>
      <w:pPr>
        <w:pBdr>
          <w:top w:val="single" w:sz="4" w:space="1" w:color="D1D5DB"/>
        </w:pBdr>
      </w:pPr>
    </w:p>
    <w:p>
      <w:r>
        <w:rPr>
          <w:rFonts w:ascii="Calibri" w:hAnsi="Calibri"/>
          <w:i/>
          <w:color w:val="4B5563"/>
          <w:sz w:val="17"/>
        </w:rPr>
        <w:t>Quellen: Gartner Magic Quadrant für Adaptive Project Management and Reporting (Juni 2026); Gartner Magic Quadrant Strategic Portfolio Management (2024/2025); Analyse basiert auf öffentlich verfügbaren Vendor-Informationen und Marktbeobachtung. Bindende Bewertung nur nach Detail-Prüfung im Rahmen des RFP-Prozesses (Vorgang 6, Q4/2026).</w:t>
      </w:r>
    </w:p>
    <w:p>
      <w:r>
        <w:rPr>
          <w:rFonts w:ascii="Calibri" w:hAnsi="Calibri"/>
          <w:i/>
          <w:color w:val="4B5563"/>
          <w:sz w:val="17"/>
        </w:rPr>
        <w:t>Autoren: Alex Passaro · Torsten Zahn  ·  Stand: 15.10.2026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