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Estructura de Carpetas del SGSI del Banco</w:t>
      </w:r>
    </w:p>
    <w:p>
      <w:pPr>
        <w:ind w:left="432"/>
      </w:pPr>
      <w:r>
        <w:rPr>
          <w:i/>
          <w:color w:val="606060"/>
        </w:rPr>
        <w:t>**Código:** EST-CARPETAS-001 · **Versión:** 1.0</w:t>
      </w:r>
    </w:p>
    <w:p>
      <w:pPr>
        <w:ind w:left="432"/>
      </w:pPr>
      <w:r>
        <w:rPr>
          <w:i/>
          <w:color w:val="606060"/>
        </w:rPr>
        <w:t>**Objetivo:** definir **dónde vive cada documento y evidencia** del SGSI, quién puede verlo/editar y cómo se controlan las versiones. Es la "memoria" del sistema.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Principios</w:t>
      </w:r>
    </w:p>
    <w:p>
      <w:pPr>
        <w:pStyle w:val="ListNumber"/>
      </w:pPr>
      <w:r>
        <w:rPr>
          <w:b/>
        </w:rPr>
        <w:t>Un solo lugar de verdad</w:t>
      </w:r>
      <w:r>
        <w:t xml:space="preserve"> (repositorio oficial, ej. SharePoint/Drive del Banco o carpeta en red con control de acceso).</w:t>
      </w:r>
    </w:p>
    <w:p>
      <w:pPr>
        <w:pStyle w:val="ListNumber"/>
      </w:pPr>
      <w:r>
        <w:rPr>
          <w:b/>
        </w:rPr>
        <w:t>Control de acceso por clasificación</w:t>
      </w:r>
      <w:r>
        <w:t>: los documentos del SGSI se clasifican (ver ID-ASS-02) y solo acceden quienes deben.</w:t>
      </w:r>
    </w:p>
    <w:p>
      <w:pPr>
        <w:pStyle w:val="ListNumber"/>
      </w:pPr>
      <w:r>
        <w:rPr>
          <w:b/>
        </w:rPr>
        <w:t>Versión y aprobación controladas</w:t>
      </w:r>
      <w:r>
        <w:t>: cada documento tiene código, versión, estado y responsable.</w:t>
      </w:r>
    </w:p>
    <w:p>
      <w:pPr>
        <w:pStyle w:val="ListNumber"/>
      </w:pPr>
      <w:r>
        <w:rPr>
          <w:b/>
        </w:rPr>
        <w:t>Evidencias separadas de plantillas</w:t>
      </w:r>
      <w:r>
        <w:t>: la plantilla (documento en blanco) no se mezcla con la evidencia (documento lleno y aprobado).</w:t>
      </w:r>
    </w:p>
    <w:p>
      <w:pPr>
        <w:pStyle w:val="ListNumber"/>
      </w:pPr>
      <w:r>
        <w:rPr>
          <w:b/>
        </w:rPr>
        <w:t>Retención</w:t>
      </w:r>
      <w:r>
        <w:t>: guardar al menos el ciclo de revisión vigente + la versión anterior; los registros de incidentes y auditorías se conservan según normativa.</w:t>
      </w:r>
    </w:p>
    <w:p>
      <w:pPr>
        <w:pStyle w:val="Heading2"/>
      </w:pPr>
      <w:r>
        <w:rPr>
          <w:color w:val="1F3B63"/>
        </w:rPr>
        <w:t>2. Árbol de carpetas del repositorio SGSI</w:t>
      </w:r>
    </w:p>
    <w:p>
      <w:pPr>
        <w:ind w:left="432"/>
      </w:pPr>
      <w:r>
        <w:rPr>
          <w:i/>
          <w:color w:val="606060"/>
        </w:rPr>
        <w:t>**Tip:** cada carpeta `0X-` del repositorio corresponde a una **función del MCU 5.0** (Gobernar, Identificar, Proteger, Detectar, Responder, Recuperar) + Cumplimiento y Mejora. Así el vínculo entre documento y marco es directo.</w:t>
      </w:r>
    </w:p>
    <w:p>
      <w:pPr>
        <w:pStyle w:val="Heading2"/>
      </w:pPr>
      <w:r>
        <w:rPr>
          <w:color w:val="1F3B63"/>
        </w:rPr>
        <w:t>3. Nomenclatura de archivos</w:t>
      </w:r>
    </w:p>
    <w:p>
      <w:r>
        <w:t>Formato recomendado para cada archivo:</w:t>
      </w:r>
    </w:p>
    <w:p>
      <w:r>
        <w:t>Ejemplos:</w:t>
      </w:r>
    </w:p>
    <w:p>
      <w:pPr>
        <w:pStyle w:val="ListBullet"/>
      </w:pPr>
      <w:r>
        <w:rPr>
          <w:rFonts w:ascii="Consolas" w:hAnsi="Consolas"/>
          <w:sz w:val="20"/>
        </w:rPr>
        <w:t>GV-01_Politica-Seguridad-Info_V1.0_Aprobado.docx</w:t>
      </w:r>
    </w:p>
    <w:p>
      <w:pPr>
        <w:pStyle w:val="ListBullet"/>
      </w:pPr>
      <w:r>
        <w:rPr>
          <w:rFonts w:ascii="Consolas" w:hAnsi="Consolas"/>
          <w:sz w:val="20"/>
        </w:rPr>
        <w:t>ID-03_Registro-Riesgos_V1.2_En-Revision.xlsx</w:t>
      </w:r>
    </w:p>
    <w:p>
      <w:pPr>
        <w:pStyle w:val="ListBullet"/>
      </w:pPr>
      <w:r>
        <w:rPr>
          <w:rFonts w:ascii="Consolas" w:hAnsi="Consolas"/>
          <w:sz w:val="20"/>
        </w:rPr>
        <w:t>RC-01_BCP_V1.0_Borrador.docx</w:t>
      </w:r>
    </w:p>
    <w:p>
      <w:r>
        <w:t xml:space="preserve">Estados: </w:t>
      </w:r>
      <w:r>
        <w:rPr>
          <w:rFonts w:ascii="Consolas" w:hAnsi="Consolas"/>
          <w:sz w:val="20"/>
        </w:rPr>
        <w:t>Borrador</w:t>
      </w:r>
      <w:r>
        <w:t xml:space="preserve">, </w:t>
      </w:r>
      <w:r>
        <w:rPr>
          <w:rFonts w:ascii="Consolas" w:hAnsi="Consolas"/>
          <w:sz w:val="20"/>
        </w:rPr>
        <w:t>En-Revision</w:t>
      </w:r>
      <w:r>
        <w:t xml:space="preserve">, </w:t>
      </w:r>
      <w:r>
        <w:rPr>
          <w:rFonts w:ascii="Consolas" w:hAnsi="Consolas"/>
          <w:sz w:val="20"/>
        </w:rPr>
        <w:t>Aprobado</w:t>
      </w:r>
      <w:r>
        <w:t xml:space="preserve">, </w:t>
      </w:r>
      <w:r>
        <w:rPr>
          <w:rFonts w:ascii="Consolas" w:hAnsi="Consolas"/>
          <w:sz w:val="20"/>
        </w:rPr>
        <w:t>Obsoleto</w:t>
      </w:r>
      <w:r>
        <w:t>.</w:t>
      </w:r>
    </w:p>
    <w:p>
      <w:pPr>
        <w:pStyle w:val="Heading2"/>
      </w:pPr>
      <w:r>
        <w:rPr>
          <w:color w:val="1F3B63"/>
        </w:rPr>
        <w:t>4. Control de cambios (tabla por documento)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Código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Título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Versión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1608"/>
          </w:tcPr>
          <w:p>
            <w:r>
              <w:rPr>
                <w:b/>
              </w:rPr>
            </w:r>
            <w:r>
              <w:rPr>
                <w:b/>
              </w:rPr>
              <w:t>Aprobador</w:t>
            </w:r>
          </w:p>
        </w:tc>
      </w:tr>
      <w:tr>
        <w:tc>
          <w:tcPr>
            <w:tcW w:type="dxa" w:w="1608"/>
          </w:tcPr>
          <w:p>
            <w:r/>
            <w:r>
              <w:t>GV-01</w:t>
            </w:r>
          </w:p>
        </w:tc>
        <w:tc>
          <w:tcPr>
            <w:tcW w:type="dxa" w:w="1608"/>
          </w:tcPr>
          <w:p>
            <w:r/>
            <w:r>
              <w:t>Política de Seguridad de la Información</w:t>
            </w:r>
          </w:p>
        </w:tc>
        <w:tc>
          <w:tcPr>
            <w:tcW w:type="dxa" w:w="1608"/>
          </w:tcPr>
          <w:p>
            <w:r/>
            <w:r>
              <w:t>1.0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  <w:r>
              <w:t>Aprobado</w:t>
            </w:r>
          </w:p>
        </w:tc>
        <w:tc>
          <w:tcPr>
            <w:tcW w:type="dxa" w:w="1608"/>
          </w:tcPr>
          <w:p>
            <w:r/>
            <w:r>
              <w:t>Directorio</w:t>
            </w:r>
          </w:p>
        </w:tc>
      </w:tr>
      <w:tr>
        <w:tc>
          <w:tcPr>
            <w:tcW w:type="dxa" w:w="1608"/>
          </w:tcPr>
          <w:p>
            <w:r/>
            <w:r>
              <w:t>ID-03</w:t>
            </w:r>
          </w:p>
        </w:tc>
        <w:tc>
          <w:tcPr>
            <w:tcW w:type="dxa" w:w="1608"/>
          </w:tcPr>
          <w:p>
            <w:r/>
            <w:r>
              <w:t>Registro de Riesgos</w:t>
            </w:r>
          </w:p>
        </w:tc>
        <w:tc>
          <w:tcPr>
            <w:tcW w:type="dxa" w:w="1608"/>
          </w:tcPr>
          <w:p>
            <w:r/>
            <w:r>
              <w:t>1.2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  <w:r>
              <w:t>En revisión</w:t>
            </w:r>
          </w:p>
        </w:tc>
        <w:tc>
          <w:tcPr>
            <w:tcW w:type="dxa" w:w="1608"/>
          </w:tcPr>
          <w:p>
            <w:r/>
            <w:r>
              <w:t>RSI</w:t>
            </w:r>
          </w:p>
        </w:tc>
      </w:tr>
      <w:tr>
        <w:tc>
          <w:tcPr>
            <w:tcW w:type="dxa" w:w="1608"/>
          </w:tcPr>
          <w:p>
            <w:r/>
            <w:r>
              <w:t>...</w:t>
            </w:r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  <w:tc>
          <w:tcPr>
            <w:tcW w:type="dxa" w:w="1608"/>
          </w:tcPr>
          <w:p>
            <w:r/>
          </w:p>
        </w:tc>
      </w:tr>
    </w:tbl>
    <w:p>
      <w:pPr>
        <w:pStyle w:val="Heading2"/>
      </w:pPr>
      <w:r>
        <w:rPr>
          <w:color w:val="1F3B63"/>
        </w:rPr>
        <w:t>5. Accesos por rol (matriz mínima)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RSI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DPD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Div. TI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Comité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Directorio</w:t>
            </w:r>
          </w:p>
        </w:tc>
        <w:tc>
          <w:tcPr>
            <w:tcW w:type="dxa" w:w="1378"/>
          </w:tcPr>
          <w:p>
            <w:r>
              <w:rPr>
                <w:b/>
              </w:rPr>
            </w:r>
            <w:r>
              <w:rPr>
                <w:b/>
              </w:rPr>
              <w:t>Auditoría</w:t>
            </w:r>
          </w:p>
        </w:tc>
      </w:tr>
      <w:tr>
        <w:tc>
          <w:tcPr>
            <w:tcW w:type="dxa" w:w="1378"/>
          </w:tcPr>
          <w:p>
            <w:r/>
            <w:r>
              <w:t>00-GOBERNANZA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-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</w:tr>
      <w:tr>
        <w:tc>
          <w:tcPr>
            <w:tcW w:type="dxa" w:w="1378"/>
          </w:tcPr>
          <w:p>
            <w:r/>
            <w:r>
              <w:t>01-IDENTIFICACION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C</w:t>
            </w:r>
          </w:p>
        </w:tc>
        <w:tc>
          <w:tcPr>
            <w:tcW w:type="dxa" w:w="1378"/>
          </w:tcPr>
          <w:p>
            <w:r/>
            <w:r>
              <w:t>C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</w:tr>
      <w:tr>
        <w:tc>
          <w:tcPr>
            <w:tcW w:type="dxa" w:w="1378"/>
          </w:tcPr>
          <w:p>
            <w:r/>
            <w:r>
              <w:t>02-PROTECCION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C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</w:tr>
      <w:tr>
        <w:tc>
          <w:tcPr>
            <w:tcW w:type="dxa" w:w="1378"/>
          </w:tcPr>
          <w:p>
            <w:r/>
            <w:r>
              <w:t>03-DETECCION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</w:tr>
      <w:tr>
        <w:tc>
          <w:tcPr>
            <w:tcW w:type="dxa" w:w="1378"/>
          </w:tcPr>
          <w:p>
            <w:r/>
            <w:r>
              <w:t>04-RESPUESTA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C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</w:tr>
      <w:tr>
        <w:tc>
          <w:tcPr>
            <w:tcW w:type="dxa" w:w="1378"/>
          </w:tcPr>
          <w:p>
            <w:r/>
            <w:r>
              <w:t>05-RECUPERACION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C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</w:tr>
      <w:tr>
        <w:tc>
          <w:tcPr>
            <w:tcW w:type="dxa" w:w="1378"/>
          </w:tcPr>
          <w:p>
            <w:r/>
            <w:r>
              <w:t>06-CUMPLIMIENTO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</w:tr>
      <w:tr>
        <w:tc>
          <w:tcPr>
            <w:tcW w:type="dxa" w:w="1378"/>
          </w:tcPr>
          <w:p>
            <w:r/>
            <w:r>
              <w:t>07-MEJORA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I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  <w:tc>
          <w:tcPr>
            <w:tcW w:type="dxa" w:w="1378"/>
          </w:tcPr>
          <w:p>
            <w:r/>
            <w:r>
              <w:t>R</w:t>
            </w:r>
          </w:p>
        </w:tc>
      </w:tr>
    </w:tbl>
    <w:p>
      <w:r>
        <w:rPr>
          <w:b/>
        </w:rPr>
        <w:t>R</w:t>
      </w:r>
      <w:r>
        <w:t xml:space="preserve"> = Lectura/Escritura (propietario) · </w:t>
      </w:r>
      <w:r>
        <w:rPr>
          <w:b/>
        </w:rPr>
        <w:t>C</w:t>
      </w:r>
      <w:r>
        <w:t xml:space="preserve"> = Consulta · </w:t>
      </w:r>
      <w:r>
        <w:rPr>
          <w:b/>
        </w:rPr>
        <w:t>I</w:t>
      </w:r>
      <w:r>
        <w:t xml:space="preserve"> = Informado (solo lectura) · </w:t>
      </w:r>
      <w:r>
        <w:rPr>
          <w:rFonts w:ascii="Consolas" w:hAnsi="Consolas"/>
          <w:sz w:val="20"/>
        </w:rPr>
        <w:t>-</w:t>
      </w:r>
      <w:r>
        <w:t xml:space="preserve"> = sin acceso.</w:t>
      </w:r>
    </w:p>
    <w:p>
      <w:pPr>
        <w:pStyle w:val="Heading2"/>
      </w:pPr>
      <w:r>
        <w:rPr>
          <w:color w:val="1F3B63"/>
        </w:rPr>
        <w:t>6. Copias de seguridad del repositorio</w:t>
      </w:r>
    </w:p>
    <w:p>
      <w:r>
        <w:t xml:space="preserve">El propio repositorio del SGSI es un </w:t>
      </w:r>
      <w:r>
        <w:rPr>
          <w:b/>
        </w:rPr>
        <w:t>activo crítico</w:t>
      </w:r>
      <w:r>
        <w:t>: debe incluirse en las copias de respaldo (PR-05) y su restauración debe probarse, porque sin él no se puede demostrar cumplimiento.</w:t>
      </w:r>
    </w:p>
    <w:p>
      <w:pPr>
        <w:pStyle w:val="Heading2"/>
      </w:pPr>
      <w:r>
        <w:rPr>
          <w:color w:val="1F3B63"/>
        </w:rPr>
        <w:t>7. Revisión de esta estructura</w:t>
      </w:r>
    </w:p>
    <w:p>
      <w:r>
        <w:t>Esta estructura se revisa: (a) al final de cada fase del plan, (b) cuando se agrega un documento nuevo, (c) anualmente.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