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Plan de Implementación del SGSI del Banco (2026-2028)</w:t>
      </w:r>
    </w:p>
    <w:p>
      <w:pPr>
        <w:ind w:left="432"/>
      </w:pPr>
      <w:r>
        <w:rPr>
          <w:i/>
          <w:color w:val="606060"/>
        </w:rPr>
        <w:t>**Código:** PLAN-SGSI-001 · **Versión:** 1.0 (borrador para aprobación)</w:t>
      </w:r>
    </w:p>
    <w:p>
      <w:pPr>
        <w:ind w:left="432"/>
      </w:pPr>
      <w:r>
        <w:rPr>
          <w:i/>
          <w:color w:val="606060"/>
        </w:rPr>
        <w:t>**Elaborado por:** RSI (responsable de este kit) · **Aprobado por:** Comité de Seguridad / Directorio</w:t>
      </w:r>
    </w:p>
    <w:p>
      <w:pPr>
        <w:ind w:left="432"/>
      </w:pPr>
      <w:r>
        <w:rPr>
          <w:i/>
          <w:color w:val="606060"/>
        </w:rPr>
        <w:t>**Horizonte:** 18 meses (ej. ago-2026 a ene-2028) · **Actualización:** trimestral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del plan</w:t>
      </w:r>
    </w:p>
    <w:p>
      <w:r>
        <w:t xml:space="preserve">Implementar de forma progresiva el </w:t>
      </w:r>
      <w:r>
        <w:rPr>
          <w:b/>
        </w:rPr>
        <w:t>SGSI del Banco</w:t>
      </w:r>
      <w:r>
        <w:t xml:space="preserve"> de modo que la institución pueda demostrar, ante </w:t>
      </w:r>
      <w:r>
        <w:rPr>
          <w:b/>
        </w:rPr>
        <w:t>Agesic (MCU 5.0)</w:t>
      </w:r>
      <w:r>
        <w:t xml:space="preserve">, el </w:t>
      </w:r>
      <w:r>
        <w:rPr>
          <w:b/>
        </w:rPr>
        <w:t>BCU (estándares mínimos de gestión)</w:t>
      </w:r>
      <w:r>
        <w:t xml:space="preserve"> y la </w:t>
      </w:r>
      <w:r>
        <w:rPr>
          <w:b/>
        </w:rPr>
        <w:t>URCDP (protección de datos)</w:t>
      </w:r>
      <w:r>
        <w:t xml:space="preserve">, que gestiona la seguridad de la información de forma </w:t>
      </w:r>
      <w:r>
        <w:rPr>
          <w:b/>
        </w:rPr>
        <w:t>sistemática, documentada y auditable</w:t>
      </w:r>
      <w:r>
        <w:t>.</w:t>
      </w:r>
    </w:p>
    <w:p>
      <w:pPr>
        <w:pStyle w:val="Heading2"/>
      </w:pPr>
      <w:r>
        <w:rPr>
          <w:color w:val="1F3B63"/>
        </w:rPr>
        <w:t>2. Principios de ejecución</w:t>
      </w:r>
    </w:p>
    <w:p>
      <w:pPr>
        <w:pStyle w:val="ListNumber"/>
      </w:pPr>
      <w:r>
        <w:rPr>
          <w:b/>
        </w:rPr>
        <w:t>Empezar por Gobernar e Identificar</w:t>
      </w:r>
      <w:r>
        <w:t xml:space="preserve"> (política, alcance, activos, riesgos): es lo que exige la norma y lo que desbloquea todo lo demás.</w:t>
      </w:r>
    </w:p>
    <w:p>
      <w:pPr>
        <w:pStyle w:val="ListNumber"/>
      </w:pPr>
      <w:r>
        <w:rPr>
          <w:b/>
        </w:rPr>
        <w:t>Documentar a la vez que se hace</w:t>
      </w:r>
      <w:r>
        <w:t>: cada actividad deja su evidencia (el entregable correspondiente).</w:t>
      </w:r>
    </w:p>
    <w:p>
      <w:pPr>
        <w:pStyle w:val="ListNumber"/>
      </w:pPr>
      <w:r>
        <w:rPr>
          <w:b/>
        </w:rPr>
        <w:t>Riesgo primero</w:t>
      </w:r>
      <w:r>
        <w:t>: no se "certifican papeles", se gestionan riesgos reales.</w:t>
      </w:r>
    </w:p>
    <w:p>
      <w:pPr>
        <w:pStyle w:val="ListNumber"/>
      </w:pPr>
      <w:r>
        <w:rPr>
          <w:b/>
        </w:rPr>
        <w:t>Lo mínimo viable pero completo</w:t>
      </w:r>
      <w:r>
        <w:t>: cada documento nace completo y útil, no perfecto.</w:t>
      </w:r>
    </w:p>
    <w:p>
      <w:pPr>
        <w:pStyle w:val="ListNumber"/>
      </w:pPr>
      <w:r>
        <w:rPr>
          <w:b/>
        </w:rPr>
        <w:t>Revisión continua</w:t>
      </w:r>
      <w:r>
        <w:t>: indicadores, auditoría interna y revisión por la dirección cada año.</w:t>
      </w:r>
    </w:p>
    <w:p>
      <w:pPr>
        <w:pStyle w:val="Heading2"/>
      </w:pPr>
      <w:r>
        <w:rPr>
          <w:color w:val="1F3B63"/>
        </w:rPr>
        <w:t>3. Fases, actividades y entregables</w:t>
      </w:r>
    </w:p>
    <w:p>
      <w:pPr>
        <w:pStyle w:val="Heading3"/>
      </w:pPr>
      <w:r>
        <w:rPr>
          <w:color w:val="1F3B63"/>
        </w:rPr>
        <w:t>Fase 0 · Preparación y gobierno (Mes 0-1)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</w:tr>
      <w:tr>
        <w:tc>
          <w:tcPr>
            <w:tcW w:type="dxa" w:w="2412"/>
          </w:tcPr>
          <w:p>
            <w:r/>
            <w:r>
              <w:t>0.1</w:t>
            </w:r>
          </w:p>
        </w:tc>
        <w:tc>
          <w:tcPr>
            <w:tcW w:type="dxa" w:w="2412"/>
          </w:tcPr>
          <w:p>
            <w:r/>
            <w:r>
              <w:t>Presentar el proyecto a la dirección y lograr el respaldo formal</w:t>
            </w:r>
          </w:p>
        </w:tc>
        <w:tc>
          <w:tcPr>
            <w:tcW w:type="dxa" w:w="2412"/>
          </w:tcPr>
          <w:p>
            <w:r/>
            <w:r>
              <w:t>RSI / Gerencia General</w:t>
            </w:r>
          </w:p>
        </w:tc>
        <w:tc>
          <w:tcPr>
            <w:tcW w:type="dxa" w:w="2412"/>
          </w:tcPr>
          <w:p>
            <w:r/>
            <w:r>
              <w:t>Resolución de inicio</w:t>
            </w:r>
          </w:p>
        </w:tc>
      </w:tr>
      <w:tr>
        <w:tc>
          <w:tcPr>
            <w:tcW w:type="dxa" w:w="2412"/>
          </w:tcPr>
          <w:p>
            <w:r/>
            <w:r>
              <w:t>0.2</w:t>
            </w:r>
          </w:p>
        </w:tc>
        <w:tc>
          <w:tcPr>
            <w:tcW w:type="dxa" w:w="2412"/>
          </w:tcPr>
          <w:p>
            <w:r/>
            <w:r>
              <w:t xml:space="preserve">Constituir el </w:t>
            </w:r>
            <w:r>
              <w:rPr>
                <w:b/>
              </w:rPr>
              <w:t>Comité de Seguridad de la Información</w:t>
            </w:r>
          </w:p>
        </w:tc>
        <w:tc>
          <w:tcPr>
            <w:tcW w:type="dxa" w:w="2412"/>
          </w:tcPr>
          <w:p>
            <w:r/>
            <w:r>
              <w:t>Directorio / Gerencia</w:t>
            </w:r>
          </w:p>
        </w:tc>
        <w:tc>
          <w:tcPr>
            <w:tcW w:type="dxa" w:w="2412"/>
          </w:tcPr>
          <w:p>
            <w:r/>
            <w:r>
              <w:t>Acta de constitución + roles (GV-03)</w:t>
            </w:r>
          </w:p>
        </w:tc>
      </w:tr>
      <w:tr>
        <w:tc>
          <w:tcPr>
            <w:tcW w:type="dxa" w:w="2412"/>
          </w:tcPr>
          <w:p>
            <w:r/>
            <w:r>
              <w:t>0.3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Designar al RSI</w:t>
            </w:r>
            <w:r>
              <w:t xml:space="preserve"> (resolución) y al </w:t>
            </w:r>
            <w:r>
              <w:rPr>
                <w:b/>
              </w:rPr>
              <w:t>DPD</w:t>
            </w:r>
            <w:r>
              <w:t xml:space="preserve"> (comunicar a URCDP)</w:t>
            </w:r>
          </w:p>
        </w:tc>
        <w:tc>
          <w:tcPr>
            <w:tcW w:type="dxa" w:w="2412"/>
          </w:tcPr>
          <w:p>
            <w:r/>
            <w:r>
              <w:t>Directorio</w:t>
            </w:r>
          </w:p>
        </w:tc>
        <w:tc>
          <w:tcPr>
            <w:tcW w:type="dxa" w:w="2412"/>
          </w:tcPr>
          <w:p>
            <w:r/>
            <w:r>
              <w:t>Resolución (GV-03, URCDP-06)</w:t>
            </w:r>
          </w:p>
        </w:tc>
      </w:tr>
      <w:tr>
        <w:tc>
          <w:tcPr>
            <w:tcW w:type="dxa" w:w="2412"/>
          </w:tcPr>
          <w:p>
            <w:r/>
            <w:r>
              <w:t>0.4</w:t>
            </w:r>
          </w:p>
        </w:tc>
        <w:tc>
          <w:tcPr>
            <w:tcW w:type="dxa" w:w="2412"/>
          </w:tcPr>
          <w:p>
            <w:r/>
            <w:r>
              <w:t xml:space="preserve">Aprobar la </w:t>
            </w:r>
            <w:r>
              <w:rPr>
                <w:b/>
              </w:rPr>
              <w:t>Política de Seguridad de la Información</w:t>
            </w:r>
          </w:p>
        </w:tc>
        <w:tc>
          <w:tcPr>
            <w:tcW w:type="dxa" w:w="2412"/>
          </w:tcPr>
          <w:p>
            <w:r/>
            <w:r>
              <w:t>Directorio</w:t>
            </w:r>
          </w:p>
        </w:tc>
        <w:tc>
          <w:tcPr>
            <w:tcW w:type="dxa" w:w="2412"/>
          </w:tcPr>
          <w:p>
            <w:r/>
            <w:r>
              <w:t>GV-01 aprobada</w:t>
            </w:r>
          </w:p>
        </w:tc>
      </w:tr>
      <w:tr>
        <w:tc>
          <w:tcPr>
            <w:tcW w:type="dxa" w:w="2412"/>
          </w:tcPr>
          <w:p>
            <w:r/>
            <w:r>
              <w:t>0.5</w:t>
            </w:r>
          </w:p>
        </w:tc>
        <w:tc>
          <w:tcPr>
            <w:tcW w:type="dxa" w:w="2412"/>
          </w:tcPr>
          <w:p>
            <w:r/>
            <w:r>
              <w:t>Definir el alcance preliminar del SGSI</w:t>
            </w:r>
          </w:p>
        </w:tc>
        <w:tc>
          <w:tcPr>
            <w:tcW w:type="dxa" w:w="2412"/>
          </w:tcPr>
          <w:p>
            <w:r/>
            <w:r>
              <w:t>RSI + Comité</w:t>
            </w:r>
          </w:p>
        </w:tc>
        <w:tc>
          <w:tcPr>
            <w:tcW w:type="dxa" w:w="2412"/>
          </w:tcPr>
          <w:p>
            <w:r/>
            <w:r>
              <w:t>GV-02 (borrador)</w:t>
            </w:r>
          </w:p>
        </w:tc>
      </w:tr>
    </w:tbl>
    <w:p>
      <w:pPr>
        <w:pStyle w:val="Heading3"/>
      </w:pPr>
      <w:r>
        <w:rPr>
          <w:color w:val="1F3B63"/>
        </w:rPr>
        <w:t>Fase 1 · Diagnóstico y contexto (Mes 1-2)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</w:tr>
      <w:tr>
        <w:tc>
          <w:tcPr>
            <w:tcW w:type="dxa" w:w="2412"/>
          </w:tcPr>
          <w:p>
            <w:r/>
            <w:r>
              <w:t>1.1</w:t>
            </w:r>
          </w:p>
        </w:tc>
        <w:tc>
          <w:tcPr>
            <w:tcW w:type="dxa" w:w="2412"/>
          </w:tcPr>
          <w:p>
            <w:r/>
            <w:r>
              <w:t>Análisis de contexto (interno/externo) y partes interesadas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  <w:tc>
          <w:tcPr>
            <w:tcW w:type="dxa" w:w="2412"/>
          </w:tcPr>
          <w:p>
            <w:r/>
            <w:r>
              <w:t>Documento de contexto (sección de GV-02)</w:t>
            </w:r>
          </w:p>
        </w:tc>
      </w:tr>
      <w:tr>
        <w:tc>
          <w:tcPr>
            <w:tcW w:type="dxa" w:w="2412"/>
          </w:tcPr>
          <w:p>
            <w:r/>
            <w:r>
              <w:t>1.2</w:t>
            </w:r>
          </w:p>
        </w:tc>
        <w:tc>
          <w:tcPr>
            <w:tcW w:type="dxa" w:w="2412"/>
          </w:tcPr>
          <w:p>
            <w:r/>
            <w:r>
              <w:t xml:space="preserve">Diagnóstico de cumplimiento del </w:t>
            </w:r>
            <w:r>
              <w:rPr>
                <w:b/>
              </w:rPr>
              <w:t>MCU 5.0</w:t>
            </w:r>
            <w:r>
              <w:t xml:space="preserve"> con la lista de verificación de Agesic</w:t>
            </w:r>
          </w:p>
        </w:tc>
        <w:tc>
          <w:tcPr>
            <w:tcW w:type="dxa" w:w="2412"/>
          </w:tcPr>
          <w:p>
            <w:r/>
            <w:r>
              <w:t>RSI + consultores</w:t>
            </w:r>
          </w:p>
        </w:tc>
        <w:tc>
          <w:tcPr>
            <w:tcW w:type="dxa" w:w="2412"/>
          </w:tcPr>
          <w:p>
            <w:r/>
            <w:r>
              <w:t>Perfil actual (ID-05)</w:t>
            </w:r>
          </w:p>
        </w:tc>
      </w:tr>
      <w:tr>
        <w:tc>
          <w:tcPr>
            <w:tcW w:type="dxa" w:w="2412"/>
          </w:tcPr>
          <w:p>
            <w:r/>
            <w:r>
              <w:t>1.3</w:t>
            </w:r>
          </w:p>
        </w:tc>
        <w:tc>
          <w:tcPr>
            <w:tcW w:type="dxa" w:w="2412"/>
          </w:tcPr>
          <w:p>
            <w:r/>
            <w:r>
              <w:t xml:space="preserve">Diagnóstico de cumplimiento </w:t>
            </w:r>
            <w:r>
              <w:rPr>
                <w:b/>
              </w:rPr>
              <w:t>BCU</w:t>
            </w:r>
            <w:r>
              <w:t xml:space="preserve"> y </w:t>
            </w:r>
            <w:r>
              <w:rPr>
                <w:b/>
              </w:rPr>
              <w:t>URCDP</w:t>
            </w:r>
          </w:p>
        </w:tc>
        <w:tc>
          <w:tcPr>
            <w:tcW w:type="dxa" w:w="2412"/>
          </w:tcPr>
          <w:p>
            <w:r/>
            <w:r>
              <w:t>RSI + DPD</w:t>
            </w:r>
          </w:p>
        </w:tc>
        <w:tc>
          <w:tcPr>
            <w:tcW w:type="dxa" w:w="2412"/>
          </w:tcPr>
          <w:p>
            <w:r/>
            <w:r>
              <w:t>Gaps (alimentan BCU-01, URCDP-01)</w:t>
            </w:r>
          </w:p>
        </w:tc>
      </w:tr>
      <w:tr>
        <w:tc>
          <w:tcPr>
            <w:tcW w:type="dxa" w:w="2412"/>
          </w:tcPr>
          <w:p>
            <w:r/>
            <w:r>
              <w:t>1.4</w:t>
            </w:r>
          </w:p>
        </w:tc>
        <w:tc>
          <w:tcPr>
            <w:tcW w:type="dxa" w:w="2412"/>
          </w:tcPr>
          <w:p>
            <w:r/>
            <w:r>
              <w:t>Inventario inicial de procesos y áreas (organigrama)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  <w:tc>
          <w:tcPr>
            <w:tcW w:type="dxa" w:w="2412"/>
          </w:tcPr>
          <w:p>
            <w:r/>
            <w:r>
              <w:t>Mapa de procesos (parte de ID-01)</w:t>
            </w:r>
          </w:p>
        </w:tc>
      </w:tr>
    </w:tbl>
    <w:p>
      <w:pPr>
        <w:pStyle w:val="Heading3"/>
      </w:pPr>
      <w:r>
        <w:rPr>
          <w:color w:val="1F3B63"/>
        </w:rPr>
        <w:t>Fase 2 · Marco documental (Mes 2-4)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</w:tr>
      <w:tr>
        <w:tc>
          <w:tcPr>
            <w:tcW w:type="dxa" w:w="2412"/>
          </w:tcPr>
          <w:p>
            <w:r/>
            <w:r>
              <w:t>2.1</w:t>
            </w:r>
          </w:p>
        </w:tc>
        <w:tc>
          <w:tcPr>
            <w:tcW w:type="dxa" w:w="2412"/>
          </w:tcPr>
          <w:p>
            <w:r/>
            <w:r>
              <w:t>Modelo documental y control de versiones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  <w:tc>
          <w:tcPr>
            <w:tcW w:type="dxa" w:w="2412"/>
          </w:tcPr>
          <w:p>
            <w:r/>
            <w:r>
              <w:t>GV-GOB-03 (gestión documental) + estructura de carpetas</w:t>
            </w:r>
          </w:p>
        </w:tc>
      </w:tr>
      <w:tr>
        <w:tc>
          <w:tcPr>
            <w:tcW w:type="dxa" w:w="2412"/>
          </w:tcPr>
          <w:p>
            <w:r/>
            <w:r>
              <w:t>2.2</w:t>
            </w:r>
          </w:p>
        </w:tc>
        <w:tc>
          <w:tcPr>
            <w:tcW w:type="dxa" w:w="2412"/>
          </w:tcPr>
          <w:p>
            <w:r/>
            <w:r>
              <w:t xml:space="preserve">Política de </w:t>
            </w:r>
            <w:r>
              <w:rPr>
                <w:b/>
              </w:rPr>
              <w:t>protección de datos personales</w:t>
            </w:r>
          </w:p>
        </w:tc>
        <w:tc>
          <w:tcPr>
            <w:tcW w:type="dxa" w:w="2412"/>
          </w:tcPr>
          <w:p>
            <w:r/>
            <w:r>
              <w:t>DPD</w:t>
            </w:r>
          </w:p>
        </w:tc>
        <w:tc>
          <w:tcPr>
            <w:tcW w:type="dxa" w:w="2412"/>
          </w:tcPr>
          <w:p>
            <w:r/>
            <w:r>
              <w:t>URCDP-01</w:t>
            </w:r>
          </w:p>
        </w:tc>
      </w:tr>
      <w:tr>
        <w:tc>
          <w:tcPr>
            <w:tcW w:type="dxa" w:w="2412"/>
          </w:tcPr>
          <w:p>
            <w:r/>
            <w:r>
              <w:t>2.3</w:t>
            </w:r>
          </w:p>
        </w:tc>
        <w:tc>
          <w:tcPr>
            <w:tcW w:type="dxa" w:w="2412"/>
          </w:tcPr>
          <w:p>
            <w:r/>
            <w:r>
              <w:t>Normas complementarias: clasificación de información, uso aceptable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  <w:tc>
          <w:tcPr>
            <w:tcW w:type="dxa" w:w="2412"/>
          </w:tcPr>
          <w:p>
            <w:r/>
            <w:r>
              <w:t>ID-ASS-02, PR-01</w:t>
            </w:r>
          </w:p>
        </w:tc>
      </w:tr>
      <w:tr>
        <w:tc>
          <w:tcPr>
            <w:tcW w:type="dxa" w:w="2412"/>
          </w:tcPr>
          <w:p>
            <w:r/>
            <w:r>
              <w:t>2.4</w:t>
            </w:r>
          </w:p>
        </w:tc>
        <w:tc>
          <w:tcPr>
            <w:tcW w:type="dxa" w:w="2412"/>
          </w:tcPr>
          <w:p>
            <w:r/>
            <w:r>
              <w:t xml:space="preserve">Política de </w:t>
            </w:r>
            <w:r>
              <w:rPr>
                <w:b/>
              </w:rPr>
              <w:t>control de accesos</w:t>
            </w:r>
            <w:r>
              <w:t xml:space="preserve"> y de </w:t>
            </w:r>
            <w:r>
              <w:rPr>
                <w:b/>
              </w:rPr>
              <w:t>seguridad física</w:t>
            </w:r>
          </w:p>
        </w:tc>
        <w:tc>
          <w:tcPr>
            <w:tcW w:type="dxa" w:w="2412"/>
          </w:tcPr>
          <w:p>
            <w:r/>
            <w:r>
              <w:t>RSI + TI</w:t>
            </w:r>
          </w:p>
        </w:tc>
        <w:tc>
          <w:tcPr>
            <w:tcW w:type="dxa" w:w="2412"/>
          </w:tcPr>
          <w:p>
            <w:r/>
            <w:r>
              <w:t>PR-01, PR-04</w:t>
            </w:r>
          </w:p>
        </w:tc>
      </w:tr>
      <w:tr>
        <w:tc>
          <w:tcPr>
            <w:tcW w:type="dxa" w:w="2412"/>
          </w:tcPr>
          <w:p>
            <w:r/>
            <w:r>
              <w:t>2.5</w:t>
            </w:r>
          </w:p>
        </w:tc>
        <w:tc>
          <w:tcPr>
            <w:tcW w:type="dxa" w:w="2412"/>
          </w:tcPr>
          <w:p>
            <w:r/>
            <w:r>
              <w:t xml:space="preserve">Programa de </w:t>
            </w:r>
            <w:r>
              <w:rPr>
                <w:b/>
              </w:rPr>
              <w:t>capacitación y concientización</w:t>
            </w:r>
          </w:p>
        </w:tc>
        <w:tc>
          <w:tcPr>
            <w:tcW w:type="dxa" w:w="2412"/>
          </w:tcPr>
          <w:p>
            <w:r/>
            <w:r>
              <w:t>RSI + Capital Humano</w:t>
            </w:r>
          </w:p>
        </w:tc>
        <w:tc>
          <w:tcPr>
            <w:tcW w:type="dxa" w:w="2412"/>
          </w:tcPr>
          <w:p>
            <w:r/>
            <w:r>
              <w:t>PR-02</w:t>
            </w:r>
          </w:p>
        </w:tc>
      </w:tr>
    </w:tbl>
    <w:p>
      <w:pPr>
        <w:pStyle w:val="Heading3"/>
      </w:pPr>
      <w:r>
        <w:rPr>
          <w:color w:val="1F3B63"/>
        </w:rPr>
        <w:t>Fase 3 · Identificar: activos y riesgos (Mes 3-5)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</w:tr>
      <w:tr>
        <w:tc>
          <w:tcPr>
            <w:tcW w:type="dxa" w:w="2412"/>
          </w:tcPr>
          <w:p>
            <w:r/>
            <w:r>
              <w:t>3.1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Inventario de activos</w:t>
            </w:r>
            <w:r>
              <w:t xml:space="preserve"> por proceso (hardware, software, datos, servicios, personas)</w:t>
            </w:r>
          </w:p>
        </w:tc>
        <w:tc>
          <w:tcPr>
            <w:tcW w:type="dxa" w:w="2412"/>
          </w:tcPr>
          <w:p>
            <w:r/>
            <w:r>
              <w:t>RSI + responsables de proceso</w:t>
            </w:r>
          </w:p>
        </w:tc>
        <w:tc>
          <w:tcPr>
            <w:tcW w:type="dxa" w:w="2412"/>
          </w:tcPr>
          <w:p>
            <w:r/>
            <w:r>
              <w:t>ID-01</w:t>
            </w:r>
          </w:p>
        </w:tc>
      </w:tr>
      <w:tr>
        <w:tc>
          <w:tcPr>
            <w:tcW w:type="dxa" w:w="2412"/>
          </w:tcPr>
          <w:p>
            <w:r/>
            <w:r>
              <w:t>3.2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Clasificación</w:t>
            </w:r>
            <w:r>
              <w:t xml:space="preserve"> de la información (confidencialidad/integridad/disponibilidad)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  <w:tc>
          <w:tcPr>
            <w:tcW w:type="dxa" w:w="2412"/>
          </w:tcPr>
          <w:p>
            <w:r/>
            <w:r>
              <w:t>ID-01 (columnas) + ID-ASS-02</w:t>
            </w:r>
          </w:p>
        </w:tc>
      </w:tr>
      <w:tr>
        <w:tc>
          <w:tcPr>
            <w:tcW w:type="dxa" w:w="2412"/>
          </w:tcPr>
          <w:p>
            <w:r/>
            <w:r>
              <w:t>3.3</w:t>
            </w:r>
          </w:p>
        </w:tc>
        <w:tc>
          <w:tcPr>
            <w:tcW w:type="dxa" w:w="2412"/>
          </w:tcPr>
          <w:p>
            <w:r/>
            <w:r>
              <w:t xml:space="preserve">Adoptar la </w:t>
            </w:r>
            <w:r>
              <w:rPr>
                <w:b/>
              </w:rPr>
              <w:t>metodología de riesgos</w:t>
            </w:r>
            <w:r>
              <w:t xml:space="preserve"> (cualitativa, MCU/ISO 27005)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  <w:tc>
          <w:tcPr>
            <w:tcW w:type="dxa" w:w="2412"/>
          </w:tcPr>
          <w:p>
            <w:r/>
            <w:r>
              <w:t>ID-02</w:t>
            </w:r>
          </w:p>
        </w:tc>
      </w:tr>
      <w:tr>
        <w:tc>
          <w:tcPr>
            <w:tcW w:type="dxa" w:w="2412"/>
          </w:tcPr>
          <w:p>
            <w:r/>
            <w:r>
              <w:t>3.4</w:t>
            </w:r>
          </w:p>
        </w:tc>
        <w:tc>
          <w:tcPr>
            <w:tcW w:type="dxa" w:w="2412"/>
          </w:tcPr>
          <w:p>
            <w:r/>
            <w:r>
              <w:t xml:space="preserve">Talleres de </w:t>
            </w:r>
            <w:r>
              <w:rPr>
                <w:b/>
              </w:rPr>
              <w:t>evaluación de riesgos</w:t>
            </w:r>
            <w:r>
              <w:t xml:space="preserve"> por área</w:t>
            </w:r>
          </w:p>
        </w:tc>
        <w:tc>
          <w:tcPr>
            <w:tcW w:type="dxa" w:w="2412"/>
          </w:tcPr>
          <w:p>
            <w:r/>
            <w:r>
              <w:t>RSI + áreas</w:t>
            </w:r>
          </w:p>
        </w:tc>
        <w:tc>
          <w:tcPr>
            <w:tcW w:type="dxa" w:w="2412"/>
          </w:tcPr>
          <w:p>
            <w:r/>
            <w:r>
              <w:t>ID-03 (registro de riesgos)</w:t>
            </w:r>
          </w:p>
        </w:tc>
      </w:tr>
      <w:tr>
        <w:tc>
          <w:tcPr>
            <w:tcW w:type="dxa" w:w="2412"/>
          </w:tcPr>
          <w:p>
            <w:r/>
            <w:r>
              <w:t>3.5</w:t>
            </w:r>
          </w:p>
        </w:tc>
        <w:tc>
          <w:tcPr>
            <w:tcW w:type="dxa" w:w="2412"/>
          </w:tcPr>
          <w:p>
            <w:r/>
            <w:r>
              <w:t xml:space="preserve">Definir </w:t>
            </w:r>
            <w:r>
              <w:rPr>
                <w:b/>
              </w:rPr>
              <w:t>perfil objetivo</w:t>
            </w:r>
            <w:r>
              <w:t xml:space="preserve"> de ciberseguridad</w:t>
            </w:r>
          </w:p>
        </w:tc>
        <w:tc>
          <w:tcPr>
            <w:tcW w:type="dxa" w:w="2412"/>
          </w:tcPr>
          <w:p>
            <w:r/>
            <w:r>
              <w:t>Comité</w:t>
            </w:r>
          </w:p>
        </w:tc>
        <w:tc>
          <w:tcPr>
            <w:tcW w:type="dxa" w:w="2412"/>
          </w:tcPr>
          <w:p>
            <w:r/>
            <w:r>
              <w:t>ID-05 (objetivo)</w:t>
            </w:r>
          </w:p>
        </w:tc>
      </w:tr>
      <w:tr>
        <w:tc>
          <w:tcPr>
            <w:tcW w:type="dxa" w:w="2412"/>
          </w:tcPr>
          <w:p>
            <w:r/>
            <w:r>
              <w:t>3.6</w:t>
            </w:r>
          </w:p>
        </w:tc>
        <w:tc>
          <w:tcPr>
            <w:tcW w:type="dxa" w:w="2412"/>
          </w:tcPr>
          <w:p>
            <w:r/>
            <w:r>
              <w:t xml:space="preserve">Mapa de </w:t>
            </w:r>
            <w:r>
              <w:rPr>
                <w:b/>
              </w:rPr>
              <w:t>terceros</w:t>
            </w:r>
            <w:r>
              <w:t xml:space="preserve"> y evaluación de proveedores críticos</w:t>
            </w:r>
          </w:p>
        </w:tc>
        <w:tc>
          <w:tcPr>
            <w:tcW w:type="dxa" w:w="2412"/>
          </w:tcPr>
          <w:p>
            <w:r/>
            <w:r>
              <w:t>RSI + Compras</w:t>
            </w:r>
          </w:p>
        </w:tc>
        <w:tc>
          <w:tcPr>
            <w:tcW w:type="dxa" w:w="2412"/>
          </w:tcPr>
          <w:p>
            <w:r/>
            <w:r>
              <w:t>GV-05, PR-08</w:t>
            </w:r>
          </w:p>
        </w:tc>
      </w:tr>
    </w:tbl>
    <w:p>
      <w:pPr>
        <w:pStyle w:val="Heading3"/>
      </w:pPr>
      <w:r>
        <w:rPr>
          <w:color w:val="1F3B63"/>
        </w:rPr>
        <w:t>Fase 4 · Tratar riesgos y desplegar controles de protección (Mes 5-9)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</w:tr>
      <w:tr>
        <w:tc>
          <w:tcPr>
            <w:tcW w:type="dxa" w:w="2412"/>
          </w:tcPr>
          <w:p>
            <w:r/>
            <w:r>
              <w:t>4.1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Plan de tratamiento de riesgos</w:t>
            </w:r>
            <w:r>
              <w:t xml:space="preserve"> (mitigar/transferir/evitar/aceptar)</w:t>
            </w:r>
          </w:p>
        </w:tc>
        <w:tc>
          <w:tcPr>
            <w:tcW w:type="dxa" w:w="2412"/>
          </w:tcPr>
          <w:p>
            <w:r/>
            <w:r>
              <w:t>RSI + Comité</w:t>
            </w:r>
          </w:p>
        </w:tc>
        <w:tc>
          <w:tcPr>
            <w:tcW w:type="dxa" w:w="2412"/>
          </w:tcPr>
          <w:p>
            <w:r/>
            <w:r>
              <w:t>ID-04</w:t>
            </w:r>
          </w:p>
        </w:tc>
      </w:tr>
      <w:tr>
        <w:tc>
          <w:tcPr>
            <w:tcW w:type="dxa" w:w="2412"/>
          </w:tcPr>
          <w:p>
            <w:r/>
            <w:r>
              <w:t>4.2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Declaración de Aplicabilidad (SoA)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  <w:tc>
          <w:tcPr>
            <w:tcW w:type="dxa" w:w="2412"/>
          </w:tcPr>
          <w:p>
            <w:r/>
            <w:r>
              <w:t>GV-RIS-03</w:t>
            </w:r>
          </w:p>
        </w:tc>
      </w:tr>
      <w:tr>
        <w:tc>
          <w:tcPr>
            <w:tcW w:type="dxa" w:w="2412"/>
          </w:tcPr>
          <w:p>
            <w:r/>
            <w:r>
              <w:t>4.3</w:t>
            </w:r>
          </w:p>
        </w:tc>
        <w:tc>
          <w:tcPr>
            <w:tcW w:type="dxa" w:w="2412"/>
          </w:tcPr>
          <w:p>
            <w:r/>
            <w:r>
              <w:t>Controles técnicos: accesos, endpoint, parches, vulnerabilidades, respaldos, red, cifrado</w:t>
            </w:r>
          </w:p>
        </w:tc>
        <w:tc>
          <w:tcPr>
            <w:tcW w:type="dxa" w:w="2412"/>
          </w:tcPr>
          <w:p>
            <w:r/>
            <w:r>
              <w:t>Div. TI</w:t>
            </w:r>
          </w:p>
        </w:tc>
        <w:tc>
          <w:tcPr>
            <w:tcW w:type="dxa" w:w="2412"/>
          </w:tcPr>
          <w:p>
            <w:r/>
            <w:r>
              <w:t>PR-01, PR-05, PR-06, PR-TEC</w:t>
            </w:r>
          </w:p>
        </w:tc>
      </w:tr>
      <w:tr>
        <w:tc>
          <w:tcPr>
            <w:tcW w:type="dxa" w:w="2412"/>
          </w:tcPr>
          <w:p>
            <w:r/>
            <w:r>
              <w:t>4.4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Desarrollo seguro</w:t>
            </w:r>
            <w:r>
              <w:t xml:space="preserve"> (SDLC) para sistemas propios</w:t>
            </w:r>
          </w:p>
        </w:tc>
        <w:tc>
          <w:tcPr>
            <w:tcW w:type="dxa" w:w="2412"/>
          </w:tcPr>
          <w:p>
            <w:r/>
            <w:r>
              <w:t>Div. TI (Sistemas)</w:t>
            </w:r>
          </w:p>
        </w:tc>
        <w:tc>
          <w:tcPr>
            <w:tcW w:type="dxa" w:w="2412"/>
          </w:tcPr>
          <w:p>
            <w:r/>
            <w:r>
              <w:t>PR-07</w:t>
            </w:r>
          </w:p>
        </w:tc>
      </w:tr>
      <w:tr>
        <w:tc>
          <w:tcPr>
            <w:tcW w:type="dxa" w:w="2412"/>
          </w:tcPr>
          <w:p>
            <w:r/>
            <w:r>
              <w:t>4.5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Seguridad física</w:t>
            </w:r>
            <w:r>
              <w:t>: datacenter, sucursales, videovigilancia</w:t>
            </w:r>
          </w:p>
        </w:tc>
        <w:tc>
          <w:tcPr>
            <w:tcW w:type="dxa" w:w="2412"/>
          </w:tcPr>
          <w:p>
            <w:r/>
            <w:r>
              <w:t>Servicios Generales</w:t>
            </w:r>
          </w:p>
        </w:tc>
        <w:tc>
          <w:tcPr>
            <w:tcW w:type="dxa" w:w="2412"/>
          </w:tcPr>
          <w:p>
            <w:r/>
            <w:r>
              <w:t>PR-04</w:t>
            </w:r>
          </w:p>
        </w:tc>
      </w:tr>
      <w:tr>
        <w:tc>
          <w:tcPr>
            <w:tcW w:type="dxa" w:w="2412"/>
          </w:tcPr>
          <w:p>
            <w:r/>
            <w:r>
              <w:t>4.6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Resguardo de datos</w:t>
            </w:r>
            <w:r>
              <w:t xml:space="preserve"> conforme RNRCSF art. 492 + claves + pruebas</w:t>
            </w:r>
          </w:p>
        </w:tc>
        <w:tc>
          <w:tcPr>
            <w:tcW w:type="dxa" w:w="2412"/>
          </w:tcPr>
          <w:p>
            <w:r/>
            <w:r>
              <w:t>Div. TI (Producción)</w:t>
            </w:r>
          </w:p>
        </w:tc>
        <w:tc>
          <w:tcPr>
            <w:tcW w:type="dxa" w:w="2412"/>
          </w:tcPr>
          <w:p>
            <w:r/>
            <w:r>
              <w:t>PR-05, RC-02</w:t>
            </w:r>
          </w:p>
        </w:tc>
      </w:tr>
    </w:tbl>
    <w:p>
      <w:pPr>
        <w:pStyle w:val="Heading3"/>
      </w:pPr>
      <w:r>
        <w:rPr>
          <w:color w:val="1F3B63"/>
        </w:rPr>
        <w:t>Fase 5 · Detectar y monitorear (Mes 7-12)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</w:tr>
      <w:tr>
        <w:tc>
          <w:tcPr>
            <w:tcW w:type="dxa" w:w="2412"/>
          </w:tcPr>
          <w:p>
            <w:r/>
            <w:r>
              <w:t>5.1</w:t>
            </w:r>
          </w:p>
        </w:tc>
        <w:tc>
          <w:tcPr>
            <w:tcW w:type="dxa" w:w="2412"/>
          </w:tcPr>
          <w:p>
            <w:r/>
            <w:r>
              <w:t xml:space="preserve">Centralización de </w:t>
            </w:r>
            <w:r>
              <w:rPr>
                <w:b/>
              </w:rPr>
              <w:t>logs</w:t>
            </w:r>
            <w:r>
              <w:t xml:space="preserve"> y monitoreo de eventos</w:t>
            </w:r>
          </w:p>
        </w:tc>
        <w:tc>
          <w:tcPr>
            <w:tcW w:type="dxa" w:w="2412"/>
          </w:tcPr>
          <w:p>
            <w:r/>
            <w:r>
              <w:t>Div. TI</w:t>
            </w:r>
          </w:p>
        </w:tc>
        <w:tc>
          <w:tcPr>
            <w:tcW w:type="dxa" w:w="2412"/>
          </w:tcPr>
          <w:p>
            <w:r/>
            <w:r>
              <w:t>DE-01</w:t>
            </w:r>
          </w:p>
        </w:tc>
      </w:tr>
      <w:tr>
        <w:tc>
          <w:tcPr>
            <w:tcW w:type="dxa" w:w="2412"/>
          </w:tcPr>
          <w:p>
            <w:r/>
            <w:r>
              <w:t>5.2</w:t>
            </w:r>
          </w:p>
        </w:tc>
        <w:tc>
          <w:tcPr>
            <w:tcW w:type="dxa" w:w="2412"/>
          </w:tcPr>
          <w:p>
            <w:r/>
            <w:r>
              <w:t>Detección de anomalías e intrusión (SIEM/EDR)</w:t>
            </w:r>
          </w:p>
        </w:tc>
        <w:tc>
          <w:tcPr>
            <w:tcW w:type="dxa" w:w="2412"/>
          </w:tcPr>
          <w:p>
            <w:r/>
            <w:r>
              <w:t>Div. TI</w:t>
            </w:r>
          </w:p>
        </w:tc>
        <w:tc>
          <w:tcPr>
            <w:tcW w:type="dxa" w:w="2412"/>
          </w:tcPr>
          <w:p>
            <w:r/>
            <w:r>
              <w:t>DE-02</w:t>
            </w:r>
          </w:p>
        </w:tc>
      </w:tr>
      <w:tr>
        <w:tc>
          <w:tcPr>
            <w:tcW w:type="dxa" w:w="2412"/>
          </w:tcPr>
          <w:p>
            <w:r/>
            <w:r>
              <w:t>5.3</w:t>
            </w:r>
          </w:p>
        </w:tc>
        <w:tc>
          <w:tcPr>
            <w:tcW w:type="dxa" w:w="2412"/>
          </w:tcPr>
          <w:p>
            <w:r/>
            <w:r>
              <w:t xml:space="preserve">Programa de </w:t>
            </w:r>
            <w:r>
              <w:rPr>
                <w:b/>
              </w:rPr>
              <w:t>gestión de vulnerabilidades</w:t>
            </w:r>
            <w:r>
              <w:t xml:space="preserve"> y escaneos</w:t>
            </w:r>
          </w:p>
        </w:tc>
        <w:tc>
          <w:tcPr>
            <w:tcW w:type="dxa" w:w="2412"/>
          </w:tcPr>
          <w:p>
            <w:r/>
            <w:r>
              <w:t>Div. TI</w:t>
            </w:r>
          </w:p>
        </w:tc>
        <w:tc>
          <w:tcPr>
            <w:tcW w:type="dxa" w:w="2412"/>
          </w:tcPr>
          <w:p>
            <w:r/>
            <w:r>
              <w:t>PR-06, DE-02</w:t>
            </w:r>
          </w:p>
        </w:tc>
      </w:tr>
      <w:tr>
        <w:tc>
          <w:tcPr>
            <w:tcW w:type="dxa" w:w="2412"/>
          </w:tcPr>
          <w:p>
            <w:r/>
            <w:r>
              <w:t>5.4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Pruebas de seguridad</w:t>
            </w:r>
            <w:r>
              <w:t xml:space="preserve"> (pentest) anuales</w:t>
            </w:r>
          </w:p>
        </w:tc>
        <w:tc>
          <w:tcPr>
            <w:tcW w:type="dxa" w:w="2412"/>
          </w:tcPr>
          <w:p>
            <w:r/>
            <w:r>
              <w:t>RSI + externos</w:t>
            </w:r>
          </w:p>
        </w:tc>
        <w:tc>
          <w:tcPr>
            <w:tcW w:type="dxa" w:w="2412"/>
          </w:tcPr>
          <w:p>
            <w:r/>
            <w:r>
              <w:t>DE-03</w:t>
            </w:r>
          </w:p>
        </w:tc>
      </w:tr>
    </w:tbl>
    <w:p>
      <w:pPr>
        <w:pStyle w:val="Heading3"/>
      </w:pPr>
      <w:r>
        <w:rPr>
          <w:color w:val="1F3B63"/>
        </w:rPr>
        <w:t>Fase 6 · Responder y notificar (Mes 8-10)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</w:tr>
      <w:tr>
        <w:tc>
          <w:tcPr>
            <w:tcW w:type="dxa" w:w="2412"/>
          </w:tcPr>
          <w:p>
            <w:r/>
            <w:r>
              <w:t>6.1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Plan de respuesta a incidentes</w:t>
            </w:r>
            <w:r>
              <w:t xml:space="preserve"> y equipo CSIRT interno</w:t>
            </w:r>
          </w:p>
        </w:tc>
        <w:tc>
          <w:tcPr>
            <w:tcW w:type="dxa" w:w="2412"/>
          </w:tcPr>
          <w:p>
            <w:r/>
            <w:r>
              <w:t>RSI + TI</w:t>
            </w:r>
          </w:p>
        </w:tc>
        <w:tc>
          <w:tcPr>
            <w:tcW w:type="dxa" w:w="2412"/>
          </w:tcPr>
          <w:p>
            <w:r/>
            <w:r>
              <w:t>RS-01</w:t>
            </w:r>
          </w:p>
        </w:tc>
      </w:tr>
      <w:tr>
        <w:tc>
          <w:tcPr>
            <w:tcW w:type="dxa" w:w="2412"/>
          </w:tcPr>
          <w:p>
            <w:r/>
            <w:r>
              <w:t>6.2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Procedimiento de notificación</w:t>
            </w:r>
            <w:r>
              <w:t xml:space="preserve"> (URCDP 72h/24h, BCU, CERTuy)</w:t>
            </w:r>
          </w:p>
        </w:tc>
        <w:tc>
          <w:tcPr>
            <w:tcW w:type="dxa" w:w="2412"/>
          </w:tcPr>
          <w:p>
            <w:r/>
            <w:r>
              <w:t>RSI + DPD</w:t>
            </w:r>
          </w:p>
        </w:tc>
        <w:tc>
          <w:tcPr>
            <w:tcW w:type="dxa" w:w="2412"/>
          </w:tcPr>
          <w:p>
            <w:r/>
            <w:r>
              <w:t>RS-02, URCDP-02</w:t>
            </w:r>
          </w:p>
        </w:tc>
      </w:tr>
      <w:tr>
        <w:tc>
          <w:tcPr>
            <w:tcW w:type="dxa" w:w="2412"/>
          </w:tcPr>
          <w:p>
            <w:r/>
            <w:r>
              <w:t>6.3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Forense y preservación de evidencia</w:t>
            </w:r>
          </w:p>
        </w:tc>
        <w:tc>
          <w:tcPr>
            <w:tcW w:type="dxa" w:w="2412"/>
          </w:tcPr>
          <w:p>
            <w:r/>
            <w:r>
              <w:t>RSI + Auditoría</w:t>
            </w:r>
          </w:p>
        </w:tc>
        <w:tc>
          <w:tcPr>
            <w:tcW w:type="dxa" w:w="2412"/>
          </w:tcPr>
          <w:p>
            <w:r/>
            <w:r>
              <w:t>RS-03</w:t>
            </w:r>
          </w:p>
        </w:tc>
      </w:tr>
      <w:tr>
        <w:tc>
          <w:tcPr>
            <w:tcW w:type="dxa" w:w="2412"/>
          </w:tcPr>
          <w:p>
            <w:r/>
            <w:r>
              <w:t>6.4</w:t>
            </w:r>
          </w:p>
        </w:tc>
        <w:tc>
          <w:tcPr>
            <w:tcW w:type="dxa" w:w="2412"/>
          </w:tcPr>
          <w:p>
            <w:r/>
            <w:r>
              <w:t>Simulacros de incidentes (phishing, ransomware, filtración)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  <w:tc>
          <w:tcPr>
            <w:tcW w:type="dxa" w:w="2412"/>
          </w:tcPr>
          <w:p>
            <w:r/>
            <w:r>
              <w:t>Evidencias de simulacro</w:t>
            </w:r>
          </w:p>
        </w:tc>
      </w:tr>
    </w:tbl>
    <w:p>
      <w:pPr>
        <w:pStyle w:val="Heading3"/>
      </w:pPr>
      <w:r>
        <w:rPr>
          <w:color w:val="1F3B63"/>
        </w:rPr>
        <w:t>Fase 7 · Continuidad y recuperación (Mes 9-12)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</w:tr>
      <w:tr>
        <w:tc>
          <w:tcPr>
            <w:tcW w:type="dxa" w:w="2412"/>
          </w:tcPr>
          <w:p>
            <w:r/>
            <w:r>
              <w:t>7.1</w:t>
            </w:r>
          </w:p>
        </w:tc>
        <w:tc>
          <w:tcPr>
            <w:tcW w:type="dxa" w:w="2412"/>
          </w:tcPr>
          <w:p>
            <w:r/>
            <w:r>
              <w:t>Análisis de impacto al negocio (</w:t>
            </w:r>
            <w:r>
              <w:rPr>
                <w:b/>
              </w:rPr>
              <w:t>BIA</w:t>
            </w:r>
            <w:r>
              <w:t xml:space="preserve">) y definición de </w:t>
            </w:r>
            <w:r>
              <w:rPr>
                <w:b/>
              </w:rPr>
              <w:t>RTO/RPO</w:t>
            </w:r>
          </w:p>
        </w:tc>
        <w:tc>
          <w:tcPr>
            <w:tcW w:type="dxa" w:w="2412"/>
          </w:tcPr>
          <w:p>
            <w:r/>
            <w:r>
              <w:t>RSI + Riesgos No Financieros</w:t>
            </w:r>
          </w:p>
        </w:tc>
        <w:tc>
          <w:tcPr>
            <w:tcW w:type="dxa" w:w="2412"/>
          </w:tcPr>
          <w:p>
            <w:r/>
            <w:r>
              <w:t>RC-01 (BIA)</w:t>
            </w:r>
          </w:p>
        </w:tc>
      </w:tr>
      <w:tr>
        <w:tc>
          <w:tcPr>
            <w:tcW w:type="dxa" w:w="2412"/>
          </w:tcPr>
          <w:p>
            <w:r/>
            <w:r>
              <w:t>7.2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Plan de Continuidad de Negocio (BCP)</w:t>
            </w:r>
          </w:p>
        </w:tc>
        <w:tc>
          <w:tcPr>
            <w:tcW w:type="dxa" w:w="2412"/>
          </w:tcPr>
          <w:p>
            <w:r/>
            <w:r>
              <w:t>Riesgos No Financieros + áreas</w:t>
            </w:r>
          </w:p>
        </w:tc>
        <w:tc>
          <w:tcPr>
            <w:tcW w:type="dxa" w:w="2412"/>
          </w:tcPr>
          <w:p>
            <w:r/>
            <w:r>
              <w:t>RC-01</w:t>
            </w:r>
          </w:p>
        </w:tc>
      </w:tr>
      <w:tr>
        <w:tc>
          <w:tcPr>
            <w:tcW w:type="dxa" w:w="2412"/>
          </w:tcPr>
          <w:p>
            <w:r/>
            <w:r>
              <w:t>7.3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Plan de Recuperación ante Desastres (DRP)</w:t>
            </w:r>
            <w:r>
              <w:t xml:space="preserve"> y resguardo de datos</w:t>
            </w:r>
          </w:p>
        </w:tc>
        <w:tc>
          <w:tcPr>
            <w:tcW w:type="dxa" w:w="2412"/>
          </w:tcPr>
          <w:p>
            <w:r/>
            <w:r>
              <w:t>Div. TI (Producción)</w:t>
            </w:r>
          </w:p>
        </w:tc>
        <w:tc>
          <w:tcPr>
            <w:tcW w:type="dxa" w:w="2412"/>
          </w:tcPr>
          <w:p>
            <w:r/>
            <w:r>
              <w:t>RC-02</w:t>
            </w:r>
          </w:p>
        </w:tc>
      </w:tr>
      <w:tr>
        <w:tc>
          <w:tcPr>
            <w:tcW w:type="dxa" w:w="2412"/>
          </w:tcPr>
          <w:p>
            <w:r/>
            <w:r>
              <w:t>7.4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Plan de comunicación de crisis</w:t>
            </w:r>
          </w:p>
        </w:tc>
        <w:tc>
          <w:tcPr>
            <w:tcW w:type="dxa" w:w="2412"/>
          </w:tcPr>
          <w:p>
            <w:r/>
            <w:r>
              <w:t>Comunicación institucional</w:t>
            </w:r>
          </w:p>
        </w:tc>
        <w:tc>
          <w:tcPr>
            <w:tcW w:type="dxa" w:w="2412"/>
          </w:tcPr>
          <w:p>
            <w:r/>
            <w:r>
              <w:t>RC-03</w:t>
            </w:r>
          </w:p>
        </w:tc>
      </w:tr>
      <w:tr>
        <w:tc>
          <w:tcPr>
            <w:tcW w:type="dxa" w:w="2412"/>
          </w:tcPr>
          <w:p>
            <w:r/>
            <w:r>
              <w:t>7.5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Pruebas</w:t>
            </w:r>
            <w:r>
              <w:t>: recuperación de resguardos (art. 492), BCP, DRP</w:t>
            </w:r>
          </w:p>
        </w:tc>
        <w:tc>
          <w:tcPr>
            <w:tcW w:type="dxa" w:w="2412"/>
          </w:tcPr>
          <w:p>
            <w:r/>
            <w:r>
              <w:t>RSI + áreas</w:t>
            </w:r>
          </w:p>
        </w:tc>
        <w:tc>
          <w:tcPr>
            <w:tcW w:type="dxa" w:w="2412"/>
          </w:tcPr>
          <w:p>
            <w:r/>
            <w:r>
              <w:t>Informes de prueba</w:t>
            </w:r>
          </w:p>
        </w:tc>
      </w:tr>
    </w:tbl>
    <w:p>
      <w:pPr>
        <w:pStyle w:val="Heading3"/>
      </w:pPr>
      <w:r>
        <w:rPr>
          <w:color w:val="1F3B63"/>
        </w:rPr>
        <w:t>Fase 8 · Cumplimiento URCDP (transversal, Mes 2-8)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</w:tr>
      <w:tr>
        <w:tc>
          <w:tcPr>
            <w:tcW w:type="dxa" w:w="2412"/>
          </w:tcPr>
          <w:p>
            <w:r/>
            <w:r>
              <w:t>8.1</w:t>
            </w:r>
          </w:p>
        </w:tc>
        <w:tc>
          <w:tcPr>
            <w:tcW w:type="dxa" w:w="2412"/>
          </w:tcPr>
          <w:p>
            <w:r/>
            <w:r>
              <w:t xml:space="preserve">Relevar </w:t>
            </w:r>
            <w:r>
              <w:rPr>
                <w:b/>
              </w:rPr>
              <w:t>bases de datos</w:t>
            </w:r>
            <w:r>
              <w:t xml:space="preserve"> y </w:t>
            </w:r>
            <w:r>
              <w:rPr>
                <w:b/>
              </w:rPr>
              <w:t>registro de tratamientos (ROPA)</w:t>
            </w:r>
          </w:p>
        </w:tc>
        <w:tc>
          <w:tcPr>
            <w:tcW w:type="dxa" w:w="2412"/>
          </w:tcPr>
          <w:p>
            <w:r/>
            <w:r>
              <w:t>DPD</w:t>
            </w:r>
          </w:p>
        </w:tc>
        <w:tc>
          <w:tcPr>
            <w:tcW w:type="dxa" w:w="2412"/>
          </w:tcPr>
          <w:p>
            <w:r/>
            <w:r>
              <w:t>URCDP-04</w:t>
            </w:r>
          </w:p>
        </w:tc>
      </w:tr>
      <w:tr>
        <w:tc>
          <w:tcPr>
            <w:tcW w:type="dxa" w:w="2412"/>
          </w:tcPr>
          <w:p>
            <w:r/>
            <w:r>
              <w:t>8.2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Inscribir bases de datos</w:t>
            </w:r>
            <w:r>
              <w:t xml:space="preserve"> ante la URCDP (declarando medidas de seguridad)</w:t>
            </w:r>
          </w:p>
        </w:tc>
        <w:tc>
          <w:tcPr>
            <w:tcW w:type="dxa" w:w="2412"/>
          </w:tcPr>
          <w:p>
            <w:r/>
            <w:r>
              <w:t>DPD</w:t>
            </w:r>
          </w:p>
        </w:tc>
        <w:tc>
          <w:tcPr>
            <w:tcW w:type="dxa" w:w="2412"/>
          </w:tcPr>
          <w:p>
            <w:r/>
            <w:r>
              <w:t>Confirmaciones de inscripción</w:t>
            </w:r>
          </w:p>
        </w:tc>
      </w:tr>
      <w:tr>
        <w:tc>
          <w:tcPr>
            <w:tcW w:type="dxa" w:w="2412"/>
          </w:tcPr>
          <w:p>
            <w:r/>
            <w:r>
              <w:t>8.3</w:t>
            </w:r>
          </w:p>
        </w:tc>
        <w:tc>
          <w:tcPr>
            <w:tcW w:type="dxa" w:w="2412"/>
          </w:tcPr>
          <w:p>
            <w:r/>
            <w:r>
              <w:t xml:space="preserve">Procedimientos </w:t>
            </w:r>
            <w:r>
              <w:rPr>
                <w:b/>
              </w:rPr>
              <w:t>ARCO</w:t>
            </w:r>
            <w:r>
              <w:t xml:space="preserve"> y atención de solicitudes</w:t>
            </w:r>
          </w:p>
        </w:tc>
        <w:tc>
          <w:tcPr>
            <w:tcW w:type="dxa" w:w="2412"/>
          </w:tcPr>
          <w:p>
            <w:r/>
            <w:r>
              <w:t>DPD</w:t>
            </w:r>
          </w:p>
        </w:tc>
        <w:tc>
          <w:tcPr>
            <w:tcW w:type="dxa" w:w="2412"/>
          </w:tcPr>
          <w:p>
            <w:r/>
            <w:r>
              <w:t>URCDP-03</w:t>
            </w:r>
          </w:p>
        </w:tc>
      </w:tr>
      <w:tr>
        <w:tc>
          <w:tcPr>
            <w:tcW w:type="dxa" w:w="2412"/>
          </w:tcPr>
          <w:p>
            <w:r/>
            <w:r>
              <w:t>8.4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EIPD</w:t>
            </w:r>
            <w:r>
              <w:t xml:space="preserve"> para tratamientos de alto riesgo</w:t>
            </w:r>
          </w:p>
        </w:tc>
        <w:tc>
          <w:tcPr>
            <w:tcW w:type="dxa" w:w="2412"/>
          </w:tcPr>
          <w:p>
            <w:r/>
            <w:r>
              <w:t>DPD</w:t>
            </w:r>
          </w:p>
        </w:tc>
        <w:tc>
          <w:tcPr>
            <w:tcW w:type="dxa" w:w="2412"/>
          </w:tcPr>
          <w:p>
            <w:r/>
            <w:r>
              <w:t>URCDP-05</w:t>
            </w:r>
          </w:p>
        </w:tc>
      </w:tr>
      <w:tr>
        <w:tc>
          <w:tcPr>
            <w:tcW w:type="dxa" w:w="2412"/>
          </w:tcPr>
          <w:p>
            <w:r/>
            <w:r>
              <w:t>8.5</w:t>
            </w:r>
          </w:p>
        </w:tc>
        <w:tc>
          <w:tcPr>
            <w:tcW w:type="dxa" w:w="2412"/>
          </w:tcPr>
          <w:p>
            <w:r/>
            <w:r>
              <w:t xml:space="preserve">Política de </w:t>
            </w:r>
            <w:r>
              <w:rPr>
                <w:b/>
              </w:rPr>
              <w:t>privacidad web</w:t>
            </w:r>
            <w:r>
              <w:t xml:space="preserve"> y consentimientos</w:t>
            </w:r>
          </w:p>
        </w:tc>
        <w:tc>
          <w:tcPr>
            <w:tcW w:type="dxa" w:w="2412"/>
          </w:tcPr>
          <w:p>
            <w:r/>
            <w:r>
              <w:t>DPD + TI</w:t>
            </w:r>
          </w:p>
        </w:tc>
        <w:tc>
          <w:tcPr>
            <w:tcW w:type="dxa" w:w="2412"/>
          </w:tcPr>
          <w:p>
            <w:r/>
            <w:r>
              <w:t>URCDP-01 (anexo)</w:t>
            </w:r>
          </w:p>
        </w:tc>
      </w:tr>
    </w:tbl>
    <w:p>
      <w:pPr>
        <w:pStyle w:val="Heading3"/>
      </w:pPr>
      <w:r>
        <w:rPr>
          <w:color w:val="1F3B63"/>
        </w:rPr>
        <w:t>Fase 9 · Cumplimiento BCU (transversal, Mes 4-10)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</w:tr>
      <w:tr>
        <w:tc>
          <w:tcPr>
            <w:tcW w:type="dxa" w:w="2412"/>
          </w:tcPr>
          <w:p>
            <w:r/>
            <w:r>
              <w:t>9.1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Gobierno de ciberseguridad</w:t>
            </w:r>
            <w:r>
              <w:t xml:space="preserve"> y riesgo tecnológico</w:t>
            </w:r>
          </w:p>
        </w:tc>
        <w:tc>
          <w:tcPr>
            <w:tcW w:type="dxa" w:w="2412"/>
          </w:tcPr>
          <w:p>
            <w:r/>
            <w:r>
              <w:t>Directorio + RSI</w:t>
            </w:r>
          </w:p>
        </w:tc>
        <w:tc>
          <w:tcPr>
            <w:tcW w:type="dxa" w:w="2412"/>
          </w:tcPr>
          <w:p>
            <w:r/>
            <w:r>
              <w:t>BCU-01</w:t>
            </w:r>
          </w:p>
        </w:tc>
      </w:tr>
      <w:tr>
        <w:tc>
          <w:tcPr>
            <w:tcW w:type="dxa" w:w="2412"/>
          </w:tcPr>
          <w:p>
            <w:r/>
            <w:r>
              <w:t>9.2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Marco de gestión de riesgos</w:t>
            </w:r>
            <w:r>
              <w:t xml:space="preserve"> y apetito</w:t>
            </w:r>
          </w:p>
        </w:tc>
        <w:tc>
          <w:tcPr>
            <w:tcW w:type="dxa" w:w="2412"/>
          </w:tcPr>
          <w:p>
            <w:r/>
            <w:r>
              <w:t>Área Riesgos</w:t>
            </w:r>
          </w:p>
        </w:tc>
        <w:tc>
          <w:tcPr>
            <w:tcW w:type="dxa" w:w="2412"/>
          </w:tcPr>
          <w:p>
            <w:r/>
            <w:r>
              <w:t>BCU-02</w:t>
            </w:r>
          </w:p>
        </w:tc>
      </w:tr>
      <w:tr>
        <w:tc>
          <w:tcPr>
            <w:tcW w:type="dxa" w:w="2412"/>
          </w:tcPr>
          <w:p>
            <w:r/>
            <w:r>
              <w:t>9.3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Función de seguridad de la información</w:t>
            </w:r>
            <w:r>
              <w:t xml:space="preserve"> (RSI) formalizada</w:t>
            </w:r>
          </w:p>
        </w:tc>
        <w:tc>
          <w:tcPr>
            <w:tcW w:type="dxa" w:w="2412"/>
          </w:tcPr>
          <w:p>
            <w:r/>
            <w:r>
              <w:t>Área Riesgos</w:t>
            </w:r>
          </w:p>
        </w:tc>
        <w:tc>
          <w:tcPr>
            <w:tcW w:type="dxa" w:w="2412"/>
          </w:tcPr>
          <w:p>
            <w:r/>
            <w:r>
              <w:t>BCU-03</w:t>
            </w:r>
          </w:p>
        </w:tc>
      </w:tr>
      <w:tr>
        <w:tc>
          <w:tcPr>
            <w:tcW w:type="dxa" w:w="2412"/>
          </w:tcPr>
          <w:p>
            <w:r/>
            <w:r>
              <w:t>9.4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Función de gestión de TI</w:t>
            </w:r>
            <w:r>
              <w:t xml:space="preserve"> (operaciones, cambios, vulnerabilidades)</w:t>
            </w:r>
          </w:p>
        </w:tc>
        <w:tc>
          <w:tcPr>
            <w:tcW w:type="dxa" w:w="2412"/>
          </w:tcPr>
          <w:p>
            <w:r/>
            <w:r>
              <w:t>Div. TI</w:t>
            </w:r>
          </w:p>
        </w:tc>
        <w:tc>
          <w:tcPr>
            <w:tcW w:type="dxa" w:w="2412"/>
          </w:tcPr>
          <w:p>
            <w:r/>
            <w:r>
              <w:t>BCU-04</w:t>
            </w:r>
          </w:p>
        </w:tc>
      </w:tr>
      <w:tr>
        <w:tc>
          <w:tcPr>
            <w:tcW w:type="dxa" w:w="2412"/>
          </w:tcPr>
          <w:p>
            <w:r/>
            <w:r>
              <w:t>9.5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Auditoría interna</w:t>
            </w:r>
            <w:r>
              <w:t xml:space="preserve"> de seguridad</w:t>
            </w:r>
          </w:p>
        </w:tc>
        <w:tc>
          <w:tcPr>
            <w:tcW w:type="dxa" w:w="2412"/>
          </w:tcPr>
          <w:p>
            <w:r/>
            <w:r>
              <w:t>Auditoría Interna</w:t>
            </w:r>
          </w:p>
        </w:tc>
        <w:tc>
          <w:tcPr>
            <w:tcW w:type="dxa" w:w="2412"/>
          </w:tcPr>
          <w:p>
            <w:r/>
            <w:r>
              <w:t>BCU-05</w:t>
            </w:r>
          </w:p>
        </w:tc>
      </w:tr>
      <w:tr>
        <w:tc>
          <w:tcPr>
            <w:tcW w:type="dxa" w:w="2412"/>
          </w:tcPr>
          <w:p>
            <w:r/>
            <w:r>
              <w:t>9.6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Continuidad</w:t>
            </w:r>
            <w:r>
              <w:t xml:space="preserve"> y pruebas (plan de contingencia)</w:t>
            </w:r>
          </w:p>
        </w:tc>
        <w:tc>
          <w:tcPr>
            <w:tcW w:type="dxa" w:w="2412"/>
          </w:tcPr>
          <w:p>
            <w:r/>
            <w:r>
              <w:t>RSI + Riesgos</w:t>
            </w:r>
          </w:p>
        </w:tc>
        <w:tc>
          <w:tcPr>
            <w:tcW w:type="dxa" w:w="2412"/>
          </w:tcPr>
          <w:p>
            <w:r/>
            <w:r>
              <w:t>BCU-06</w:t>
            </w:r>
          </w:p>
        </w:tc>
      </w:tr>
    </w:tbl>
    <w:p>
      <w:pPr>
        <w:pStyle w:val="Heading3"/>
      </w:pPr>
      <w:r>
        <w:rPr>
          <w:color w:val="1F3B63"/>
        </w:rPr>
        <w:t>Fase 10 · Verificar y mejorar (Mes 12-14)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</w:tr>
      <w:tr>
        <w:tc>
          <w:tcPr>
            <w:tcW w:type="dxa" w:w="2412"/>
          </w:tcPr>
          <w:p>
            <w:r/>
            <w:r>
              <w:t>10.1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Auditoría interna del SGSI</w:t>
            </w:r>
            <w:r>
              <w:t xml:space="preserve"> (primera vuelta)</w:t>
            </w:r>
          </w:p>
        </w:tc>
        <w:tc>
          <w:tcPr>
            <w:tcW w:type="dxa" w:w="2412"/>
          </w:tcPr>
          <w:p>
            <w:r/>
            <w:r>
              <w:t>Auditoría Interna</w:t>
            </w:r>
          </w:p>
        </w:tc>
        <w:tc>
          <w:tcPr>
            <w:tcW w:type="dxa" w:w="2412"/>
          </w:tcPr>
          <w:p>
            <w:r/>
            <w:r>
              <w:t>BCU-05 (informe)</w:t>
            </w:r>
          </w:p>
        </w:tc>
      </w:tr>
      <w:tr>
        <w:tc>
          <w:tcPr>
            <w:tcW w:type="dxa" w:w="2412"/>
          </w:tcPr>
          <w:p>
            <w:r/>
            <w:r>
              <w:t>10.2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Revisión por la dirección</w:t>
            </w:r>
          </w:p>
        </w:tc>
        <w:tc>
          <w:tcPr>
            <w:tcW w:type="dxa" w:w="2412"/>
          </w:tcPr>
          <w:p>
            <w:r/>
            <w:r>
              <w:t>Directorio + Comité</w:t>
            </w:r>
          </w:p>
        </w:tc>
        <w:tc>
          <w:tcPr>
            <w:tcW w:type="dxa" w:w="2412"/>
          </w:tcPr>
          <w:p>
            <w:r/>
            <w:r>
              <w:t>GV-06 (informe del RSI)</w:t>
            </w:r>
          </w:p>
        </w:tc>
      </w:tr>
      <w:tr>
        <w:tc>
          <w:tcPr>
            <w:tcW w:type="dxa" w:w="2412"/>
          </w:tcPr>
          <w:p>
            <w:r/>
            <w:r>
              <w:t>10.3</w:t>
            </w:r>
          </w:p>
        </w:tc>
        <w:tc>
          <w:tcPr>
            <w:tcW w:type="dxa" w:w="2412"/>
          </w:tcPr>
          <w:p>
            <w:r/>
            <w:r>
              <w:t xml:space="preserve">Medición de </w:t>
            </w:r>
            <w:r>
              <w:rPr>
                <w:b/>
              </w:rPr>
              <w:t>indicadores</w:t>
            </w:r>
            <w:r>
              <w:t xml:space="preserve"> y metas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  <w:tc>
          <w:tcPr>
            <w:tcW w:type="dxa" w:w="2412"/>
          </w:tcPr>
          <w:p>
            <w:r/>
            <w:r>
              <w:t>P-MET-01</w:t>
            </w:r>
          </w:p>
        </w:tc>
      </w:tr>
      <w:tr>
        <w:tc>
          <w:tcPr>
            <w:tcW w:type="dxa" w:w="2412"/>
          </w:tcPr>
          <w:p>
            <w:r/>
            <w:r>
              <w:t>10.4</w:t>
            </w:r>
          </w:p>
        </w:tc>
        <w:tc>
          <w:tcPr>
            <w:tcW w:type="dxa" w:w="2412"/>
          </w:tcPr>
          <w:p>
            <w:r/>
            <w:r>
              <w:t>Cierre de no conformidades</w:t>
            </w:r>
          </w:p>
        </w:tc>
        <w:tc>
          <w:tcPr>
            <w:tcW w:type="dxa" w:w="2412"/>
          </w:tcPr>
          <w:p>
            <w:r/>
            <w:r>
              <w:t>RSI + áreas</w:t>
            </w:r>
          </w:p>
        </w:tc>
        <w:tc>
          <w:tcPr>
            <w:tcW w:type="dxa" w:w="2412"/>
          </w:tcPr>
          <w:p>
            <w:r/>
            <w:r>
              <w:t>Plan de acciones correctivas</w:t>
            </w:r>
          </w:p>
        </w:tc>
      </w:tr>
    </w:tbl>
    <w:p>
      <w:pPr>
        <w:pStyle w:val="Heading3"/>
      </w:pPr>
      <w:r>
        <w:rPr>
          <w:color w:val="1F3B63"/>
        </w:rPr>
        <w:t>Fase 11 · Segundo ciclo de mejora (Mes 14-18)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Entregable</w:t>
            </w:r>
          </w:p>
        </w:tc>
      </w:tr>
      <w:tr>
        <w:tc>
          <w:tcPr>
            <w:tcW w:type="dxa" w:w="2412"/>
          </w:tcPr>
          <w:p>
            <w:r/>
            <w:r>
              <w:t>11.1</w:t>
            </w:r>
          </w:p>
        </w:tc>
        <w:tc>
          <w:tcPr>
            <w:tcW w:type="dxa" w:w="2412"/>
          </w:tcPr>
          <w:p>
            <w:r/>
            <w:r>
              <w:t>Re-evaluación de riesgos (actualización)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  <w:tc>
          <w:tcPr>
            <w:tcW w:type="dxa" w:w="2412"/>
          </w:tcPr>
          <w:p>
            <w:r/>
            <w:r>
              <w:t>ID-03 (v2)</w:t>
            </w:r>
          </w:p>
        </w:tc>
      </w:tr>
      <w:tr>
        <w:tc>
          <w:tcPr>
            <w:tcW w:type="dxa" w:w="2412"/>
          </w:tcPr>
          <w:p>
            <w:r/>
            <w:r>
              <w:t>11.2</w:t>
            </w:r>
          </w:p>
        </w:tc>
        <w:tc>
          <w:tcPr>
            <w:tcW w:type="dxa" w:w="2412"/>
          </w:tcPr>
          <w:p>
            <w:r/>
            <w:r>
              <w:t>Re-diagnóstico MCU 5.0 (avance de madurez)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  <w:tc>
          <w:tcPr>
            <w:tcW w:type="dxa" w:w="2412"/>
          </w:tcPr>
          <w:p>
            <w:r/>
            <w:r>
              <w:t>ID-05 (v2)</w:t>
            </w:r>
          </w:p>
        </w:tc>
      </w:tr>
      <w:tr>
        <w:tc>
          <w:tcPr>
            <w:tcW w:type="dxa" w:w="2412"/>
          </w:tcPr>
          <w:p>
            <w:r/>
            <w:r>
              <w:t>11.3</w:t>
            </w:r>
          </w:p>
        </w:tc>
        <w:tc>
          <w:tcPr>
            <w:tcW w:type="dxa" w:w="2412"/>
          </w:tcPr>
          <w:p>
            <w:r/>
            <w:r>
              <w:t xml:space="preserve">Decisión sobre </w:t>
            </w:r>
            <w:r>
              <w:rPr>
                <w:b/>
              </w:rPr>
              <w:t>certificación ISO 27001</w:t>
            </w:r>
          </w:p>
        </w:tc>
        <w:tc>
          <w:tcPr>
            <w:tcW w:type="dxa" w:w="2412"/>
          </w:tcPr>
          <w:p>
            <w:r/>
            <w:r>
              <w:t>Directorio</w:t>
            </w:r>
          </w:p>
        </w:tc>
        <w:tc>
          <w:tcPr>
            <w:tcW w:type="dxa" w:w="2412"/>
          </w:tcPr>
          <w:p>
            <w:r/>
            <w:r>
              <w:t>Resolución</w:t>
            </w:r>
          </w:p>
        </w:tc>
      </w:tr>
      <w:tr>
        <w:tc>
          <w:tcPr>
            <w:tcW w:type="dxa" w:w="2412"/>
          </w:tcPr>
          <w:p>
            <w:r/>
            <w:r>
              <w:t>11.4</w:t>
            </w:r>
          </w:p>
        </w:tc>
        <w:tc>
          <w:tcPr>
            <w:tcW w:type="dxa" w:w="2412"/>
          </w:tcPr>
          <w:p>
            <w:r/>
            <w:r>
              <w:t>Plan anual siguiente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  <w:tc>
          <w:tcPr>
            <w:tcW w:type="dxa" w:w="2412"/>
          </w:tcPr>
          <w:p>
            <w:r/>
            <w:r>
              <w:t>GV-04 (año 2)</w:t>
            </w:r>
          </w:p>
        </w:tc>
      </w:tr>
    </w:tbl>
    <w:p>
      <w:pPr>
        <w:pStyle w:val="Heading2"/>
      </w:pPr>
      <w:r>
        <w:rPr>
          <w:color w:val="1F3B63"/>
        </w:rPr>
        <w:t>4. Cronograma resumido (18 meses)</w:t>
      </w:r>
    </w:p>
    <w:p>
      <w:pPr>
        <w:pStyle w:val="Heading2"/>
      </w:pPr>
      <w:r>
        <w:rPr>
          <w:color w:val="1F3B63"/>
        </w:rPr>
        <w:t>5. Recursos necesarios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Recurso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Personas</w:t>
            </w:r>
          </w:p>
        </w:tc>
        <w:tc>
          <w:tcPr>
            <w:tcW w:type="dxa" w:w="4824"/>
          </w:tcPr>
          <w:p>
            <w:r/>
            <w:r>
              <w:t>RSI (dedicado), DPD (dedicado o compartido), 1-2 oficiales de seguridad, apoyo de Div. TI (2 personas), Capital Humano, Compras, Auditoría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Presupuesto</w:t>
            </w:r>
          </w:p>
        </w:tc>
        <w:tc>
          <w:tcPr>
            <w:tcW w:type="dxa" w:w="4824"/>
          </w:tcPr>
          <w:p>
            <w:r/>
            <w:r>
              <w:t>Herramientas (SIEM/EDR/escaneo, backup), pentest, capacitación, consultoría de acompañamiento (opcional)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Herramientas sugeridas</w:t>
            </w:r>
          </w:p>
        </w:tc>
        <w:tc>
          <w:tcPr>
            <w:tcW w:type="dxa" w:w="4824"/>
          </w:tcPr>
          <w:p>
            <w:r/>
            <w:r>
              <w:t xml:space="preserve">Ver </w:t>
            </w:r>
            <w:r>
              <w:rPr>
                <w:rFonts w:ascii="Consolas" w:hAnsi="Consolas"/>
                <w:sz w:val="20"/>
              </w:rPr>
              <w:t>03-HERRAMIENTAS/00_Inventario_de_Herramientas.md</w:t>
            </w:r>
          </w:p>
        </w:tc>
      </w:tr>
    </w:tbl>
    <w:p>
      <w:pPr>
        <w:pStyle w:val="Heading2"/>
      </w:pPr>
      <w:r>
        <w:rPr>
          <w:color w:val="1F3B63"/>
        </w:rPr>
        <w:t>6. Indicadores clave (KPI) del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Meta a 12 meses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Meta a 18 meses</w:t>
            </w:r>
          </w:p>
        </w:tc>
      </w:tr>
      <w:tr>
        <w:tc>
          <w:tcPr>
            <w:tcW w:type="dxa" w:w="3216"/>
          </w:tcPr>
          <w:p>
            <w:r/>
            <w:r>
              <w:t>% de entregables del kit completados y aprobados</w:t>
            </w:r>
          </w:p>
        </w:tc>
        <w:tc>
          <w:tcPr>
            <w:tcW w:type="dxa" w:w="3216"/>
          </w:tcPr>
          <w:p>
            <w:r/>
            <w:r>
              <w:t>≥ 60%</w:t>
            </w:r>
          </w:p>
        </w:tc>
        <w:tc>
          <w:tcPr>
            <w:tcW w:type="dxa" w:w="3216"/>
          </w:tcPr>
          <w:p>
            <w:r/>
            <w:r>
              <w:t>≥ 90%</w:t>
            </w:r>
          </w:p>
        </w:tc>
      </w:tr>
      <w:tr>
        <w:tc>
          <w:tcPr>
            <w:tcW w:type="dxa" w:w="3216"/>
          </w:tcPr>
          <w:p>
            <w:r/>
            <w:r>
              <w:t>% de activos inventariados y clasificados</w:t>
            </w:r>
          </w:p>
        </w:tc>
        <w:tc>
          <w:tcPr>
            <w:tcW w:type="dxa" w:w="3216"/>
          </w:tcPr>
          <w:p>
            <w:r/>
            <w:r>
              <w:t>≥ 80%</w:t>
            </w:r>
          </w:p>
        </w:tc>
        <w:tc>
          <w:tcPr>
            <w:tcW w:type="dxa" w:w="3216"/>
          </w:tcPr>
          <w:p>
            <w:r/>
            <w:r>
              <w:t>≥ 95%</w:t>
            </w:r>
          </w:p>
        </w:tc>
      </w:tr>
      <w:tr>
        <w:tc>
          <w:tcPr>
            <w:tcW w:type="dxa" w:w="3216"/>
          </w:tcPr>
          <w:p>
            <w:r/>
            <w:r>
              <w:t>% de riesgos críticos con plan de tratamiento</w:t>
            </w:r>
          </w:p>
        </w:tc>
        <w:tc>
          <w:tcPr>
            <w:tcW w:type="dxa" w:w="3216"/>
          </w:tcPr>
          <w:p>
            <w:r/>
            <w:r>
              <w:t>100%</w:t>
            </w:r>
          </w:p>
        </w:tc>
        <w:tc>
          <w:tcPr>
            <w:tcW w:type="dxa" w:w="3216"/>
          </w:tcPr>
          <w:p>
            <w:r/>
            <w: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t>Madurez MCU 5.0 (promedio)</w:t>
            </w:r>
          </w:p>
        </w:tc>
        <w:tc>
          <w:tcPr>
            <w:tcW w:type="dxa" w:w="3216"/>
          </w:tcPr>
          <w:p>
            <w:r/>
            <w:r>
              <w:t>+1 nivel</w:t>
            </w:r>
          </w:p>
        </w:tc>
        <w:tc>
          <w:tcPr>
            <w:tcW w:type="dxa" w:w="3216"/>
          </w:tcPr>
          <w:p>
            <w:r/>
            <w:r>
              <w:t>+2 niveles</w:t>
            </w:r>
          </w:p>
        </w:tc>
      </w:tr>
      <w:tr>
        <w:tc>
          <w:tcPr>
            <w:tcW w:type="dxa" w:w="3216"/>
          </w:tcPr>
          <w:p>
            <w:r/>
            <w:r>
              <w:t>Bases de datos inscritas en URCDP</w:t>
            </w:r>
          </w:p>
        </w:tc>
        <w:tc>
          <w:tcPr>
            <w:tcW w:type="dxa" w:w="3216"/>
          </w:tcPr>
          <w:p>
            <w:r/>
            <w:r>
              <w:t>100% de las obligatorias</w:t>
            </w:r>
          </w:p>
        </w:tc>
        <w:tc>
          <w:tcPr>
            <w:tcW w:type="dxa" w:w="3216"/>
          </w:tcPr>
          <w:p>
            <w:r/>
            <w:r>
              <w:t>100% + mantenimiento</w:t>
            </w:r>
          </w:p>
        </w:tc>
      </w:tr>
      <w:tr>
        <w:tc>
          <w:tcPr>
            <w:tcW w:type="dxa" w:w="3216"/>
          </w:tcPr>
          <w:p>
            <w:r/>
            <w:r>
              <w:t>Pruebas de resguardo de datos (art. 492)</w:t>
            </w:r>
          </w:p>
        </w:tc>
        <w:tc>
          <w:tcPr>
            <w:tcW w:type="dxa" w:w="3216"/>
          </w:tcPr>
          <w:p>
            <w:r/>
            <w:r>
              <w:t>1 realizada</w:t>
            </w:r>
          </w:p>
        </w:tc>
        <w:tc>
          <w:tcPr>
            <w:tcW w:type="dxa" w:w="3216"/>
          </w:tcPr>
          <w:p>
            <w:r/>
            <w:r>
              <w:t>2 realizadas</w:t>
            </w:r>
          </w:p>
        </w:tc>
      </w:tr>
      <w:tr>
        <w:tc>
          <w:tcPr>
            <w:tcW w:type="dxa" w:w="3216"/>
          </w:tcPr>
          <w:p>
            <w:r/>
            <w:r>
              <w:t>Simulacros de incidentes</w:t>
            </w:r>
          </w:p>
        </w:tc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4</w:t>
            </w:r>
          </w:p>
        </w:tc>
      </w:tr>
      <w:tr>
        <w:tc>
          <w:tcPr>
            <w:tcW w:type="dxa" w:w="3216"/>
          </w:tcPr>
          <w:p>
            <w:r/>
            <w:r>
              <w:t>% de funcionarios capacitados en seguridad</w:t>
            </w:r>
          </w:p>
        </w:tc>
        <w:tc>
          <w:tcPr>
            <w:tcW w:type="dxa" w:w="3216"/>
          </w:tcPr>
          <w:p>
            <w:r/>
            <w:r>
              <w:t>50%</w:t>
            </w:r>
          </w:p>
        </w:tc>
        <w:tc>
          <w:tcPr>
            <w:tcW w:type="dxa" w:w="3216"/>
          </w:tcPr>
          <w:p>
            <w:r/>
            <w:r>
              <w:t>90%</w:t>
            </w:r>
          </w:p>
        </w:tc>
      </w:tr>
    </w:tbl>
    <w:p>
      <w:pPr>
        <w:pStyle w:val="Heading2"/>
      </w:pPr>
      <w:r>
        <w:rPr>
          <w:color w:val="1F3B63"/>
        </w:rPr>
        <w:t>7. Riesgos del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Mitigación</w:t>
            </w:r>
          </w:p>
        </w:tc>
      </w:tr>
      <w:tr>
        <w:tc>
          <w:tcPr>
            <w:tcW w:type="dxa" w:w="4824"/>
          </w:tcPr>
          <w:p>
            <w:r/>
            <w:r>
              <w:t>Falta de respaldo de la dirección</w:t>
            </w:r>
          </w:p>
        </w:tc>
        <w:tc>
          <w:tcPr>
            <w:tcW w:type="dxa" w:w="4824"/>
          </w:tcPr>
          <w:p>
            <w:r/>
            <w:r>
              <w:t>Aprobación formal en Fase 0; informe mensual de avance</w:t>
            </w:r>
          </w:p>
        </w:tc>
      </w:tr>
      <w:tr>
        <w:tc>
          <w:tcPr>
            <w:tcW w:type="dxa" w:w="4824"/>
          </w:tcPr>
          <w:p>
            <w:r/>
            <w:r>
              <w:t>RSI sin dedicación</w:t>
            </w:r>
          </w:p>
        </w:tc>
        <w:tc>
          <w:tcPr>
            <w:tcW w:type="dxa" w:w="4824"/>
          </w:tcPr>
          <w:p>
            <w:r/>
            <w:r>
              <w:t>Resolución de dedicación; no asignar tareas operativas de TI</w:t>
            </w:r>
          </w:p>
        </w:tc>
      </w:tr>
      <w:tr>
        <w:tc>
          <w:tcPr>
            <w:tcW w:type="dxa" w:w="4824"/>
          </w:tcPr>
          <w:p>
            <w:r/>
            <w:r>
              <w:t>Falta de disponibilidad de áreas</w:t>
            </w:r>
          </w:p>
        </w:tc>
        <w:tc>
          <w:tcPr>
            <w:tcW w:type="dxa" w:w="4824"/>
          </w:tcPr>
          <w:p>
            <w:r/>
            <w:r>
              <w:t>Talleres acotados; sponsor por cada área</w:t>
            </w:r>
          </w:p>
        </w:tc>
      </w:tr>
      <w:tr>
        <w:tc>
          <w:tcPr>
            <w:tcW w:type="dxa" w:w="4824"/>
          </w:tcPr>
          <w:p>
            <w:r/>
            <w:r>
              <w:t>Presupuesto insuficiente</w:t>
            </w:r>
          </w:p>
        </w:tc>
        <w:tc>
          <w:tcPr>
            <w:tcW w:type="dxa" w:w="4824"/>
          </w:tcPr>
          <w:p>
            <w:r/>
            <w:r>
              <w:t>Priorizar controles de riesgo alto; herramientas open source</w:t>
            </w:r>
          </w:p>
        </w:tc>
      </w:tr>
      <w:tr>
        <w:tc>
          <w:tcPr>
            <w:tcW w:type="dxa" w:w="4824"/>
          </w:tcPr>
          <w:p>
            <w:r/>
            <w:r>
              <w:t>Cambios de personal</w:t>
            </w:r>
          </w:p>
        </w:tc>
        <w:tc>
          <w:tcPr>
            <w:tcW w:type="dxa" w:w="4824"/>
          </w:tcPr>
          <w:p>
            <w:r/>
            <w:r>
              <w:t>Documentar todo (este kit es la memoria); matriz de responsables</w:t>
            </w:r>
          </w:p>
        </w:tc>
      </w:tr>
    </w:tbl>
    <w:p>
      <w:pPr>
        <w:pStyle w:val="Heading2"/>
      </w:pPr>
      <w:r>
        <w:rPr>
          <w:color w:val="1F3B63"/>
        </w:rPr>
        <w:t>8. Aprobación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Nombre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Firma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</w:tr>
      <w:tr>
        <w:tc>
          <w:tcPr>
            <w:tcW w:type="dxa" w:w="2412"/>
          </w:tcPr>
          <w:p>
            <w:r/>
            <w:r>
              <w:t>RSI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Jefe de Riesgos No Financieros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Gerente de Área Riesgos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Gerente General / Directorio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