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Módulo 1 · El marco normativo uruguayo que obliga al Banco</w:t>
      </w:r>
    </w:p>
    <w:p>
      <w:pPr>
        <w:ind w:left="432"/>
      </w:pPr>
      <w:r>
        <w:rPr>
          <w:i/>
          <w:color w:val="606060"/>
        </w:rPr>
        <w:t>Nivel del curso: 🟢 Descubrir</w:t>
      </w:r>
    </w:p>
    <w:p>
      <w:pPr>
        <w:ind w:left="432"/>
      </w:pPr>
      <w:r>
        <w:rPr>
          <w:i/>
          <w:color w:val="606060"/>
        </w:rPr>
        <w:t>Objetivo: entender **por qué** el Banco tiene que gestionar la seguridad de la información y **qué leyes, decretos y circulares** lo obligan.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1.1. ¿Por qué el Banco tiene obligaciones especiales?</w:t>
      </w:r>
    </w:p>
    <w:p>
      <w:r>
        <w:t>El Banco Hipotecario del Uruguay ocupa una posición triple que pocas organizaciones tienen:</w:t>
      </w:r>
    </w:p>
    <w:p>
      <w:pPr>
        <w:pStyle w:val="ListNumber"/>
      </w:pPr>
      <w:r>
        <w:t xml:space="preserve">Es un </w:t>
      </w:r>
      <w:r>
        <w:rPr>
          <w:b/>
        </w:rPr>
        <w:t>banco público del Estado uruguayo</w:t>
      </w:r>
      <w:r>
        <w:t xml:space="preserve"> → como organismo estatal debe cumplir los lineamientos de </w:t>
      </w:r>
      <w:r>
        <w:rPr>
          <w:b/>
        </w:rPr>
        <w:t>Agesic</w:t>
      </w:r>
      <w:r>
        <w:t xml:space="preserve"> (el Marco de Ciberseguridad 5.0) y la normativa de gobierno electrónico (Decretos 92/014, 66/025 y Ley 20.212).</w:t>
      </w:r>
    </w:p>
    <w:p>
      <w:pPr>
        <w:pStyle w:val="ListNumber"/>
      </w:pPr>
      <w:r>
        <w:t xml:space="preserve">Es una </w:t>
      </w:r>
      <w:r>
        <w:rPr>
          <w:b/>
        </w:rPr>
        <w:t>institución de intermediación financiera supervisada por el BCU</w:t>
      </w:r>
      <w:r>
        <w:t xml:space="preserve"> → debe cumplir la Recopilación de Normas de Regulación y Control del Sistema Financiero (RNRCSF), las circulares de riesgo operativo, resguardo de datos y tercerizaciones, y los estándares mínimos de gestión.</w:t>
      </w:r>
    </w:p>
    <w:p>
      <w:pPr>
        <w:pStyle w:val="ListNumber"/>
      </w:pPr>
      <w:r>
        <w:t xml:space="preserve">Trata </w:t>
      </w:r>
      <w:r>
        <w:rPr>
          <w:b/>
        </w:rPr>
        <w:t>datos personales de miles de personas</w:t>
      </w:r>
      <w:r>
        <w:t xml:space="preserve"> (clientes, funcionarios, garantías, información crediticia) → es "responsable de tratamiento" ante la </w:t>
      </w:r>
      <w:r>
        <w:rPr>
          <w:b/>
        </w:rPr>
        <w:t>URCDP</w:t>
      </w:r>
      <w:r>
        <w:t xml:space="preserve"> (Ley 18.331, Ley 19.670 y sus decretos).</w:t>
      </w:r>
    </w:p>
    <w:p>
      <w:r>
        <w:t xml:space="preserve">Si el Banco falla en seguridad: multas del BCU, sanciones de la URCDP, perjuicio reputacional, pérdida de confianza y, sobre todo, </w:t>
      </w:r>
      <w:r>
        <w:rPr>
          <w:b/>
        </w:rPr>
        <w:t>daño real a las personas</w:t>
      </w:r>
      <w:r>
        <w:t xml:space="preserve"> cuyos datos custodia.</w:t>
      </w:r>
    </w:p>
    <w:p>
      <w:pPr>
        <w:pStyle w:val="Heading3"/>
      </w:pPr>
      <w:r>
        <w:rPr>
          <w:color w:val="1F3B63"/>
        </w:rPr>
        <w:t>La "triple responsabilidad" en una tabla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Organismo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Rol sobre el Banco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Qué exige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Normas clave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Agesic</w:t>
            </w:r>
          </w:p>
        </w:tc>
        <w:tc>
          <w:tcPr>
            <w:tcW w:type="dxa" w:w="2412"/>
          </w:tcPr>
          <w:p>
            <w:r/>
            <w:r>
              <w:t>Rectoría en ciberseguridad del Estado</w:t>
            </w:r>
          </w:p>
        </w:tc>
        <w:tc>
          <w:tcPr>
            <w:tcW w:type="dxa" w:w="2412"/>
          </w:tcPr>
          <w:p>
            <w:r/>
            <w:r>
              <w:t xml:space="preserve">Implementar el </w:t>
            </w:r>
            <w:r>
              <w:rPr>
                <w:b/>
              </w:rPr>
              <w:t>Marco de Ciberseguridad 5.0</w:t>
            </w:r>
            <w:r>
              <w:t xml:space="preserve"> (72 requisitos, 6 funciones)</w:t>
            </w:r>
          </w:p>
        </w:tc>
        <w:tc>
          <w:tcPr>
            <w:tcW w:type="dxa" w:w="2412"/>
          </w:tcPr>
          <w:p>
            <w:r/>
            <w:r>
              <w:t>MCU 5.0; Decreto 92/014; Decreto 66/025; Ley 20.212 (arts. 78-79)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BCU</w:t>
            </w:r>
          </w:p>
        </w:tc>
        <w:tc>
          <w:tcPr>
            <w:tcW w:type="dxa" w:w="2412"/>
          </w:tcPr>
          <w:p>
            <w:r/>
            <w:r>
              <w:t>Supervisor financiero</w:t>
            </w:r>
          </w:p>
        </w:tc>
        <w:tc>
          <w:tcPr>
            <w:tcW w:type="dxa" w:w="2412"/>
          </w:tcPr>
          <w:p>
            <w:r/>
            <w:r>
              <w:t>Gestión del riesgo tecnológico/operativo, resguardo de datos, tercerizaciones, continuidad, sistema de pagos</w:t>
            </w:r>
          </w:p>
        </w:tc>
        <w:tc>
          <w:tcPr>
            <w:tcW w:type="dxa" w:w="2412"/>
          </w:tcPr>
          <w:p>
            <w:r/>
            <w:r>
              <w:t>RNRCSF (art. 492 y ss.); Circular 2227; Circulares 2419-2422; Circular 2280; Estándares Mínimos de Gestión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URCDP</w:t>
            </w:r>
          </w:p>
        </w:tc>
        <w:tc>
          <w:tcPr>
            <w:tcW w:type="dxa" w:w="2412"/>
          </w:tcPr>
          <w:p>
            <w:r/>
            <w:r>
              <w:t>Autoridad de protección de datos</w:t>
            </w:r>
          </w:p>
        </w:tc>
        <w:tc>
          <w:tcPr>
            <w:tcW w:type="dxa" w:w="2412"/>
          </w:tcPr>
          <w:p>
            <w:r/>
            <w:r>
              <w:t>Tratamiento lícito de datos personales, seguridad, derechos de los titulares, comunicación de vulneraciones</w:t>
            </w:r>
          </w:p>
        </w:tc>
        <w:tc>
          <w:tcPr>
            <w:tcW w:type="dxa" w:w="2412"/>
          </w:tcPr>
          <w:p>
            <w:r/>
            <w:r>
              <w:t>Ley 18.331; Decreto 414/009; Ley 19.670; Decreto 64/020</w:t>
            </w:r>
          </w:p>
        </w:tc>
      </w:tr>
    </w:tbl>
    <w:p>
      <w:pPr>
        <w:ind w:left="432"/>
      </w:pPr>
      <w:r>
        <w:rPr>
          <w:i/>
          <w:color w:val="606060"/>
        </w:rPr>
        <w:t>**Consejo para el curso:** no te asustes con la cantidad de normas. Todas apuntan a lo mismo que vas a construir con el SGSI: **confidencialidad, integridad y disponibilidad (CID)** de la información. El SGSI es la herramienta que demuestra que cumplís todas a la vez.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1.2. La jerarquía normativa en Uruguay</w:t>
      </w:r>
    </w:p>
    <w:p>
      <w:r>
        <w:t>Para leer cualquier norma correctamente:</w:t>
      </w:r>
    </w:p>
    <w:p>
      <w:r>
        <w:rPr>
          <w:b/>
        </w:rPr>
        <w:t>Importante:</w:t>
      </w:r>
      <w:r>
        <w:t xml:space="preserve"> las guías (como el Marco de Ciberseguridad de Agesic o las guías de la URCDP) no son leyes, pero los supervisores las usan para </w:t>
      </w:r>
      <w:r>
        <w:rPr>
          <w:b/>
        </w:rPr>
        <w:t>evaluar si tus medidas son adecuadas</w:t>
      </w:r>
      <w:r>
        <w:t>. En la práctica, no cumplirlas = no poder demostrar cumplimiento.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1.3. Las normas que tenés que conocer sí o sí</w:t>
      </w:r>
    </w:p>
    <w:p>
      <w:pPr>
        <w:pStyle w:val="Heading3"/>
      </w:pPr>
      <w:r>
        <w:rPr>
          <w:color w:val="1F3B63"/>
        </w:rPr>
        <w:t>A) Protección de datos personales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Norma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Qué establece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Ley 18.331</w:t>
            </w:r>
            <w:r>
              <w:t xml:space="preserve"> (2008)</w:t>
            </w:r>
          </w:p>
        </w:tc>
        <w:tc>
          <w:tcPr>
            <w:tcW w:type="dxa" w:w="4824"/>
          </w:tcPr>
          <w:p>
            <w:r/>
            <w:r>
              <w:t>Ley de Protección de Datos Personales y Acción de Habeas Data. Define principios (licitud, calidad, consentimiento, finalidad, seguridad, reserva), derechos ARCO y el régimen general de tratamiento.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Decreto 414/009</w:t>
            </w:r>
          </w:p>
        </w:tc>
        <w:tc>
          <w:tcPr>
            <w:tcW w:type="dxa" w:w="4824"/>
          </w:tcPr>
          <w:p>
            <w:r/>
            <w:r>
              <w:t>Reglamentación de la Ley 18.331. Detalla las medidas de seguridad (arts. 7 y 8) y la inscripción de bases de datos.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Ley 19.670</w:t>
            </w:r>
            <w:r>
              <w:t xml:space="preserve"> (2018)</w:t>
            </w:r>
          </w:p>
        </w:tc>
        <w:tc>
          <w:tcPr>
            <w:tcW w:type="dxa" w:w="4824"/>
          </w:tcPr>
          <w:p>
            <w:r/>
            <w:r>
              <w:t xml:space="preserve">Reforma: refuerza la responsabilidad proactiva, obliga a designar </w:t>
            </w:r>
            <w:r>
              <w:rPr>
                <w:b/>
              </w:rPr>
              <w:t>Delegado de Protección de Datos (DPD)</w:t>
            </w:r>
            <w:r>
              <w:t xml:space="preserve"> en ciertos casos y crea el régimen de </w:t>
            </w:r>
            <w:r>
              <w:rPr>
                <w:b/>
              </w:rPr>
              <w:t>comunicación de vulneraciones</w:t>
            </w:r>
            <w:r>
              <w:t xml:space="preserve"> (art. 38).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Decreto 64/020</w:t>
            </w:r>
          </w:p>
        </w:tc>
        <w:tc>
          <w:tcPr>
            <w:tcW w:type="dxa" w:w="4824"/>
          </w:tcPr>
          <w:p>
            <w:r/>
            <w:r>
              <w:t>Reglamenta la Ley 19.670: seguridad (arts. 3 y 4), plazos de notificación, evaluaciones de impacto (art. 6 lit. f), privacidad por diseño (arts. 7 y 8).</w:t>
            </w:r>
          </w:p>
        </w:tc>
      </w:tr>
    </w:tbl>
    <w:p>
      <w:pPr>
        <w:pStyle w:val="Heading3"/>
      </w:pPr>
      <w:r>
        <w:rPr>
          <w:color w:val="1F3B63"/>
        </w:rPr>
        <w:t>B) Ciberseguridad y Estado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Norma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Qué establece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Marco de Ciberseguridad 5.0 (Agesic, Versión 5.0 – Junio 2026)</w:t>
            </w:r>
          </w:p>
        </w:tc>
        <w:tc>
          <w:tcPr>
            <w:tcW w:type="dxa" w:w="4824"/>
          </w:tcPr>
          <w:p>
            <w:r/>
            <w:r>
              <w:t xml:space="preserve">Conjunto de requisitos y buenas prácticas de ciberseguridad, alineado con NIST CSF 2.0. 72 requisitos en 6 funciones: Gobernar, Identificar, Proteger, Detectar, Responder, Recuperar. Es la </w:t>
            </w:r>
            <w:r>
              <w:rPr>
                <w:b/>
              </w:rPr>
              <w:t>referencia</w:t>
            </w:r>
            <w:r>
              <w:t xml:space="preserve"> para demostrar seguridad en el sector público.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Decreto 92/014</w:t>
            </w:r>
          </w:p>
        </w:tc>
        <w:tc>
          <w:tcPr>
            <w:tcW w:type="dxa" w:w="4824"/>
          </w:tcPr>
          <w:p>
            <w:r/>
            <w:r>
              <w:t>Lineamientos sobre centros de datos seguros, correo electrónico y nombres de dominio del Estado.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Decreto 66/025</w:t>
            </w:r>
          </w:p>
        </w:tc>
        <w:tc>
          <w:tcPr>
            <w:tcW w:type="dxa" w:w="4824"/>
          </w:tcPr>
          <w:p>
            <w:r/>
            <w:r>
              <w:t>Disposiciones sobre seguridad de la información en organismos del Estado.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Ley 20.212</w:t>
            </w:r>
            <w:r>
              <w:t xml:space="preserve"> (arts. 78-79)</w:t>
            </w:r>
          </w:p>
        </w:tc>
        <w:tc>
          <w:tcPr>
            <w:tcW w:type="dxa" w:w="4824"/>
          </w:tcPr>
          <w:p>
            <w:r/>
            <w:r>
              <w:t>Refuerza la obligación de medidas de seguridad en el ámbito digital (agenda de transformación digital).</w:t>
            </w:r>
          </w:p>
        </w:tc>
      </w:tr>
    </w:tbl>
    <w:p>
      <w:pPr>
        <w:pStyle w:val="Heading3"/>
      </w:pPr>
      <w:r>
        <w:rPr>
          <w:color w:val="1F3B63"/>
        </w:rPr>
        <w:t>C) Sistema financiero (BCU)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Norma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Qué establece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RNRCSF – art. 492</w:t>
            </w:r>
          </w:p>
        </w:tc>
        <w:tc>
          <w:tcPr>
            <w:tcW w:type="dxa" w:w="4824"/>
          </w:tcPr>
          <w:p>
            <w:r/>
            <w:r>
              <w:t xml:space="preserve">Obligación de </w:t>
            </w:r>
            <w:r>
              <w:rPr>
                <w:b/>
              </w:rPr>
              <w:t>resguardo de datos, software y documentación</w:t>
            </w:r>
            <w:r>
              <w:t xml:space="preserve">, con copias que no puedan verse afectadas por un mismo evento, claves de desencriptación resguardadas y </w:t>
            </w:r>
            <w:r>
              <w:rPr>
                <w:b/>
              </w:rPr>
              <w:t>pruebas anuales de recuperación e integridad</w:t>
            </w:r>
            <w:r>
              <w:t>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Circular 2227</w:t>
            </w:r>
          </w:p>
        </w:tc>
        <w:tc>
          <w:tcPr>
            <w:tcW w:type="dxa" w:w="4824"/>
          </w:tcPr>
          <w:p>
            <w:r/>
            <w:r>
              <w:t xml:space="preserve">Normas de </w:t>
            </w:r>
            <w:r>
              <w:rPr>
                <w:b/>
              </w:rPr>
              <w:t>gestión del riesgo operativo</w:t>
            </w:r>
            <w:r>
              <w:t>: políticas, gestión de incidentes, continuidad, terceros, seguridad de la información.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Circulares 2419-2422</w:t>
            </w:r>
            <w:r>
              <w:t xml:space="preserve"> (2022)</w:t>
            </w:r>
          </w:p>
        </w:tc>
        <w:tc>
          <w:tcPr>
            <w:tcW w:type="dxa" w:w="4824"/>
          </w:tcPr>
          <w:p>
            <w:r/>
            <w:r>
              <w:t xml:space="preserve">Régimen de </w:t>
            </w:r>
            <w:r>
              <w:rPr>
                <w:b/>
              </w:rPr>
              <w:t>tercerizaciones</w:t>
            </w:r>
            <w:r>
              <w:t xml:space="preserve"> y de resguardo de datos: evaluación de riesgos del tercero, contrato mínimo, autorización para el exterior, responsable del resguardo.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Circular 2280 / RNSP</w:t>
            </w:r>
          </w:p>
        </w:tc>
        <w:tc>
          <w:tcPr>
            <w:tcW w:type="dxa" w:w="4824"/>
          </w:tcPr>
          <w:p>
            <w:r/>
            <w:r>
              <w:t>Sistema de pagos: calidad del servicio, seguridad de la información, continuidad operativa, disponibilidad, monitoreo proactivo. El Banco tiene un Departamento de Sistema de Pagos.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Estándares Mínimos de Gestión (EMG)</w:t>
            </w:r>
          </w:p>
        </w:tc>
        <w:tc>
          <w:tcPr>
            <w:tcW w:type="dxa" w:w="4824"/>
          </w:tcPr>
          <w:p>
            <w:r/>
            <w:r>
              <w:t>Marco que el BCU espera en gobierno de la ciberseguridad, gestión de riesgos, funciones de seguridad de la información y de TI, auditoría y continuidad.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1.4. Los "cinco actores" que te van a auditar o preguntar</w:t>
      </w:r>
    </w:p>
    <w:p>
      <w:pPr>
        <w:pStyle w:val="ListNumber"/>
      </w:pPr>
      <w:r>
        <w:rPr>
          <w:b/>
        </w:rPr>
        <w:t>Agesic</w:t>
      </w:r>
      <w:r>
        <w:t xml:space="preserve"> → audita el cumplimiento del MCU 5.0 en organismos del Estado (con listas de verificación y niveles de madurez).</w:t>
      </w:r>
    </w:p>
    <w:p>
      <w:pPr>
        <w:pStyle w:val="ListNumber"/>
      </w:pPr>
      <w:r>
        <w:rPr>
          <w:b/>
        </w:rPr>
        <w:t>BCU / Superintendencia de Servicios Financieros (SSF)</w:t>
      </w:r>
      <w:r>
        <w:t xml:space="preserve"> → supervisa al Banco como institución financiera; pide evidencia de gestión de riesgos y seguridad.</w:t>
      </w:r>
    </w:p>
    <w:p>
      <w:pPr>
        <w:pStyle w:val="ListNumber"/>
      </w:pPr>
      <w:r>
        <w:rPr>
          <w:b/>
        </w:rPr>
        <w:t>URCDP</w:t>
      </w:r>
      <w:r>
        <w:t xml:space="preserve"> → controla el tratamiento de datos personales; recibe la comunicación de vulneraciones y evalúa las medidas de seguridad declaradas al inscribir bases de datos.</w:t>
      </w:r>
    </w:p>
    <w:p>
      <w:pPr>
        <w:pStyle w:val="ListNumber"/>
      </w:pPr>
      <w:r>
        <w:rPr>
          <w:b/>
        </w:rPr>
        <w:t>CERTuy</w:t>
      </w:r>
      <w:r>
        <w:t xml:space="preserve"> (depende de Agesic) → centro nacional de respuesta a incidentes; se coordina ante vulneraciones de datos personales.</w:t>
      </w:r>
    </w:p>
    <w:p>
      <w:pPr>
        <w:pStyle w:val="ListNumber"/>
      </w:pPr>
      <w:r>
        <w:rPr>
          <w:b/>
        </w:rPr>
        <w:t>Auditoría Interna y Auditoría Externa del Banco</w:t>
      </w:r>
      <w:r>
        <w:t xml:space="preserve"> → controlan la gestión, incluyendo al RSI.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1.5. Qué significa "cumplir" en la práctica</w:t>
      </w:r>
    </w:p>
    <w:p>
      <w:r>
        <w:t xml:space="preserve">Cumplir no es tener un papel firmado. Es tener </w:t>
      </w:r>
      <w:r>
        <w:rPr>
          <w:b/>
        </w:rPr>
        <w:t>evidencia</w:t>
      </w:r>
      <w:r>
        <w:t xml:space="preserve"> de que:</w:t>
      </w:r>
    </w:p>
    <w:p>
      <w:pPr>
        <w:pStyle w:val="ListBullet"/>
      </w:pPr>
      <w:r>
        <w:t xml:space="preserve">hay alguien </w:t>
      </w:r>
      <w:r>
        <w:rPr>
          <w:b/>
        </w:rPr>
        <w:t>responsable</w:t>
      </w:r>
      <w:r>
        <w:t xml:space="preserve"> (el RSI) y un </w:t>
      </w:r>
      <w:r>
        <w:rPr>
          <w:b/>
        </w:rPr>
        <w:t>comité</w:t>
      </w:r>
      <w:r>
        <w:t xml:space="preserve"> que decide;</w:t>
      </w:r>
    </w:p>
    <w:p>
      <w:pPr>
        <w:pStyle w:val="ListBullet"/>
      </w:pPr>
      <w:r>
        <w:t xml:space="preserve">hay </w:t>
      </w:r>
      <w:r>
        <w:rPr>
          <w:b/>
        </w:rPr>
        <w:t>políticas</w:t>
      </w:r>
      <w:r>
        <w:t xml:space="preserve"> aprobadas por la máxima autoridad;</w:t>
      </w:r>
    </w:p>
    <w:p>
      <w:pPr>
        <w:pStyle w:val="ListBullet"/>
      </w:pPr>
      <w:r>
        <w:t xml:space="preserve">se </w:t>
      </w:r>
      <w:r>
        <w:rPr>
          <w:b/>
        </w:rPr>
        <w:t>conocen los activos</w:t>
      </w:r>
      <w:r>
        <w:t xml:space="preserve"> y </w:t>
      </w:r>
      <w:r>
        <w:rPr>
          <w:b/>
        </w:rPr>
        <w:t>se evalúan los riesgos</w:t>
      </w:r>
      <w:r>
        <w:t>;</w:t>
      </w:r>
    </w:p>
    <w:p>
      <w:pPr>
        <w:pStyle w:val="ListBullet"/>
      </w:pPr>
      <w:r>
        <w:t xml:space="preserve">hay </w:t>
      </w:r>
      <w:r>
        <w:rPr>
          <w:b/>
        </w:rPr>
        <w:t>controles implementados</w:t>
      </w:r>
      <w:r>
        <w:t xml:space="preserve"> y </w:t>
      </w:r>
      <w:r>
        <w:rPr>
          <w:b/>
        </w:rPr>
        <w:t>evidencia</w:t>
      </w:r>
      <w:r>
        <w:t xml:space="preserve"> de que funcionan;</w:t>
      </w:r>
    </w:p>
    <w:p>
      <w:pPr>
        <w:pStyle w:val="ListBullet"/>
      </w:pPr>
      <w:r>
        <w:t xml:space="preserve">se </w:t>
      </w:r>
      <w:r>
        <w:rPr>
          <w:b/>
        </w:rPr>
        <w:t>detectan y responden</w:t>
      </w:r>
      <w:r>
        <w:t xml:space="preserve"> incidentes;</w:t>
      </w:r>
    </w:p>
    <w:p>
      <w:pPr>
        <w:pStyle w:val="ListBullet"/>
      </w:pPr>
      <w:r>
        <w:t xml:space="preserve">se </w:t>
      </w:r>
      <w:r>
        <w:rPr>
          <w:b/>
        </w:rPr>
        <w:t>recupera</w:t>
      </w:r>
      <w:r>
        <w:t xml:space="preserve"> la operación y se </w:t>
      </w:r>
      <w:r>
        <w:rPr>
          <w:b/>
        </w:rPr>
        <w:t>mejora</w:t>
      </w:r>
      <w:r>
        <w:t xml:space="preserve"> continuamente.</w:t>
      </w:r>
    </w:p>
    <w:p>
      <w:r>
        <w:t xml:space="preserve">Todo eso que listamos es, precisamente, un </w:t>
      </w:r>
      <w:r>
        <w:rPr>
          <w:b/>
        </w:rPr>
        <w:t>SGSI</w:t>
      </w:r>
      <w:r>
        <w:t>. Por eso el módulo siguiente te presenta el marco Agesic y luego el SGSI.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1.6. Autoexamen</w:t>
      </w:r>
    </w:p>
    <w:p>
      <w:pPr>
        <w:pStyle w:val="ListNumber"/>
      </w:pPr>
      <w:r>
        <w:t>¿Cuáles son los tres organismos que regulan al Banco y qué controla cada uno?</w:t>
      </w:r>
    </w:p>
    <w:p>
      <w:pPr>
        <w:pStyle w:val="ListNumber"/>
      </w:pPr>
      <w:r>
        <w:t>¿Qué es más fuerte: una ley o una guía de Agesic? ¿Por qué entonces cumplimos guías?</w:t>
      </w:r>
    </w:p>
    <w:p>
      <w:pPr>
        <w:pStyle w:val="ListNumber"/>
      </w:pPr>
      <w:r>
        <w:t>Nombrá al menos 3 normas de protección de datos y qué aporta cada una.</w:t>
      </w:r>
    </w:p>
    <w:p>
      <w:pPr>
        <w:pStyle w:val="ListNumber"/>
      </w:pPr>
      <w:r>
        <w:t>¿Qué artículo de la RNRCSF obliga al resguardo de datos y qué exige?</w:t>
      </w:r>
    </w:p>
    <w:p>
      <w:pPr>
        <w:pStyle w:val="ListNumber"/>
      </w:pPr>
      <w:r>
        <w:t>¿Por qué un banco público tiene más obligaciones que una empresa privada común?</w:t>
      </w:r>
    </w:p>
    <w:p>
      <w:pPr>
        <w:spacing w:before="120" w:after="120"/>
      </w:pPr>
    </w:p>
    <w:p>
      <w:r>
        <w:rPr>
          <w:b/>
        </w:rPr>
        <w:t>Siguiente:</w:t>
      </w:r>
      <w:r>
        <w:t xml:space="preserve"> </w:t>
      </w:r>
      <w:r>
        <w:rPr>
          <w:rFonts w:ascii="Consolas" w:hAnsi="Consolas"/>
          <w:sz w:val="20"/>
        </w:rPr>
        <w:t>02-Marco-Ciberseguridad-50-Agesic.md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