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Módulo 2 · El Marco de Ciberseguridad 5.0 de Agesic (MCU 5.0)</w:t>
      </w:r>
    </w:p>
    <w:p>
      <w:pPr>
        <w:ind w:left="432"/>
      </w:pPr>
      <w:r>
        <w:rPr>
          <w:i/>
          <w:color w:val="606060"/>
        </w:rPr>
        <w:t>Nivel del curso: 🟢 Descubrir → 🟡 Practicar</w:t>
      </w:r>
    </w:p>
    <w:p>
      <w:pPr>
        <w:ind w:left="432"/>
      </w:pPr>
      <w:r>
        <w:rPr>
          <w:i/>
          <w:color w:val="606060"/>
        </w:rPr>
        <w:t>Objetivo: dominar la **herramienta central** que el Banco debe usar para demostrar seguridad ante Agesic y como referencia ante BCU y URCDP.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2.1. ¿Qué es el MCU 5.0?</w:t>
      </w:r>
    </w:p>
    <w:p>
      <w:r>
        <w:t xml:space="preserve">El </w:t>
      </w:r>
      <w:r>
        <w:rPr>
          <w:b/>
        </w:rPr>
        <w:t>Marco de Ciberseguridad del Uruguay versión 5.0</w:t>
      </w:r>
      <w:r>
        <w:t xml:space="preserve"> (publicado por Agesic, Versión 5.0 – Junio 2026) es un conjunto de </w:t>
      </w:r>
      <w:r>
        <w:rPr>
          <w:b/>
        </w:rPr>
        <w:t>requisitos normativos y buenas prácticas</w:t>
      </w:r>
      <w:r>
        <w:t xml:space="preserve"> que toda organización (pública o privada) puede adoptar para gestionar sus riesgos de ciberseguridad.</w:t>
      </w:r>
    </w:p>
    <w:p>
      <w:r>
        <w:t xml:space="preserve">Está alineado con el </w:t>
      </w:r>
      <w:r>
        <w:rPr>
          <w:b/>
        </w:rPr>
        <w:t>NIST Cybersecurity Framework 2.0</w:t>
      </w:r>
      <w:r>
        <w:t xml:space="preserve"> (Estados Unidos) y con la normativa nacional de seguridad de la información y protección de datos personales.</w:t>
      </w:r>
    </w:p>
    <w:p>
      <w:r>
        <w:t>Datos clave:</w:t>
      </w:r>
    </w:p>
    <w:p>
      <w:pPr>
        <w:pStyle w:val="ListBullet"/>
      </w:pPr>
      <w:r>
        <w:rPr>
          <w:b/>
        </w:rPr>
        <w:t>72 requisitos</w:t>
      </w:r>
      <w:r>
        <w:t xml:space="preserve">, organizados en </w:t>
      </w:r>
      <w:r>
        <w:rPr>
          <w:b/>
        </w:rPr>
        <w:t>6 funciones</w:t>
      </w:r>
      <w:r>
        <w:t xml:space="preserve"> del ciclo de vida de la ciberseguridad.</w:t>
      </w:r>
    </w:p>
    <w:p>
      <w:pPr>
        <w:pStyle w:val="ListBullet"/>
      </w:pPr>
      <w:r>
        <w:t xml:space="preserve">Incluye un </w:t>
      </w:r>
      <w:r>
        <w:rPr>
          <w:b/>
        </w:rPr>
        <w:t>modelo de madurez</w:t>
      </w:r>
      <w:r>
        <w:t xml:space="preserve"> (para saber dónde estás y a dónde vas).</w:t>
      </w:r>
    </w:p>
    <w:p>
      <w:pPr>
        <w:pStyle w:val="ListBullet"/>
      </w:pPr>
      <w:r>
        <w:t xml:space="preserve">Define </w:t>
      </w:r>
      <w:r>
        <w:rPr>
          <w:b/>
        </w:rPr>
        <w:t>3 perfiles</w:t>
      </w:r>
      <w:r>
        <w:t xml:space="preserve"> para priorizar: </w:t>
      </w:r>
      <w:r>
        <w:rPr>
          <w:b/>
        </w:rPr>
        <w:t>Básico (B)</w:t>
      </w:r>
      <w:r>
        <w:t xml:space="preserve">, </w:t>
      </w:r>
      <w:r>
        <w:rPr>
          <w:b/>
        </w:rPr>
        <w:t>Estándar (E)</w:t>
      </w:r>
      <w:r>
        <w:t xml:space="preserve"> y </w:t>
      </w:r>
      <w:r>
        <w:rPr>
          <w:b/>
        </w:rPr>
        <w:t>Avanzado (A)</w:t>
      </w:r>
      <w:r>
        <w:t>.</w:t>
      </w:r>
    </w:p>
    <w:p>
      <w:pPr>
        <w:pStyle w:val="ListBullet"/>
      </w:pPr>
      <w:r>
        <w:t xml:space="preserve">Tiene </w:t>
      </w:r>
      <w:r>
        <w:rPr>
          <w:b/>
        </w:rPr>
        <w:t>apartados especiales</w:t>
      </w:r>
      <w:r>
        <w:t xml:space="preserve"> para sectores críticos: </w:t>
      </w:r>
      <w:r>
        <w:rPr>
          <w:b/>
        </w:rPr>
        <w:t>salud</w:t>
      </w:r>
      <w:r>
        <w:t xml:space="preserve"> y </w:t>
      </w:r>
      <w:r>
        <w:rPr>
          <w:b/>
        </w:rPr>
        <w:t>sistema de pagos</w:t>
      </w:r>
      <w:r>
        <w:t xml:space="preserve"> (el Banco opera pagos → le aplica).</w:t>
      </w:r>
    </w:p>
    <w:p>
      <w:pPr>
        <w:pStyle w:val="ListBullet"/>
      </w:pPr>
      <w:r>
        <w:t xml:space="preserve">Es </w:t>
      </w:r>
      <w:r>
        <w:rPr>
          <w:b/>
        </w:rPr>
        <w:t>compatible</w:t>
      </w:r>
      <w:r>
        <w:t xml:space="preserve"> con la implementación de un </w:t>
      </w:r>
      <w:r>
        <w:rPr>
          <w:b/>
        </w:rPr>
        <w:t>SGSI</w:t>
      </w:r>
      <w:r>
        <w:t xml:space="preserve"> (ISO/IEC 27001) y con la normativa de URCDP. No son cosas en competencia: se refuerzan.</w:t>
      </w:r>
    </w:p>
    <w:p>
      <w:pPr>
        <w:ind w:left="432"/>
      </w:pPr>
      <w:r>
        <w:rPr>
          <w:i/>
          <w:color w:val="606060"/>
        </w:rPr>
        <w:t>**Regla de oro:** el MCU 5.0 te dice **qué** gestionar; el SGSI te da el **cómo** (proceso, documentación, mejora continua). Se implementan juntos.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2.2. Las 6 funciones (el "ciclo de vida" de la ciberseguridad)</w:t>
      </w:r>
    </w:p>
    <w:p>
      <w:r>
        <w:t xml:space="preserve">El Marco ordena las actividades de ciberseguridad como un </w:t>
      </w:r>
      <w:r>
        <w:rPr>
          <w:b/>
        </w:rPr>
        <w:t>ciclo continuo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Función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Qué busca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Ejemplos de categorías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GV · Gobernar</w:t>
            </w:r>
          </w:p>
        </w:tc>
        <w:tc>
          <w:tcPr>
            <w:tcW w:type="dxa" w:w="3216"/>
          </w:tcPr>
          <w:p>
            <w:r/>
            <w:r>
              <w:t>Que la dirección establezca política, roles y estrategia de riesgo</w:t>
            </w:r>
          </w:p>
        </w:tc>
        <w:tc>
          <w:tcPr>
            <w:tcW w:type="dxa" w:w="3216"/>
          </w:tcPr>
          <w:p>
            <w:r/>
            <w:r>
              <w:t>Contexto organizativo (GV.OC), estrategia de gestión de riesgos (GV.RM), roles y responsabilidades (GV.RR), políticas (GV.PO), supervisión (GV.OV), cadena de suministro (GV.SC)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ID · Identificar</w:t>
            </w:r>
          </w:p>
        </w:tc>
        <w:tc>
          <w:tcPr>
            <w:tcW w:type="dxa" w:w="3216"/>
          </w:tcPr>
          <w:p>
            <w:r/>
            <w:r>
              <w:t>Conocer los activos, el negocio y los riesgos</w:t>
            </w:r>
          </w:p>
        </w:tc>
        <w:tc>
          <w:tcPr>
            <w:tcW w:type="dxa" w:w="3216"/>
          </w:tcPr>
          <w:p>
            <w:r/>
            <w:r>
              <w:t>Gestión de activos (ID.AM), evaluación de riesgos (ID.RA), mejora (ID.IM)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PR · Proteger</w:t>
            </w:r>
          </w:p>
        </w:tc>
        <w:tc>
          <w:tcPr>
            <w:tcW w:type="dxa" w:w="3216"/>
          </w:tcPr>
          <w:p>
            <w:r/>
            <w:r>
              <w:t>Implantar las defensas</w:t>
            </w:r>
          </w:p>
        </w:tc>
        <w:tc>
          <w:tcPr>
            <w:tcW w:type="dxa" w:w="3216"/>
          </w:tcPr>
          <w:p>
            <w:r/>
            <w:r>
              <w:t>Identidades y control de acceso (PR.AA), concientización (PR.AT), seguridad de datos (PR.DS), seguridad de plataformas (PR.PS), resiliencia de la infraestructura (PR.IR)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DE · Detectar</w:t>
            </w:r>
          </w:p>
        </w:tc>
        <w:tc>
          <w:tcPr>
            <w:tcW w:type="dxa" w:w="3216"/>
          </w:tcPr>
          <w:p>
            <w:r/>
            <w:r>
              <w:t>Encontrar anomalías e incidentes temprano</w:t>
            </w:r>
          </w:p>
        </w:tc>
        <w:tc>
          <w:tcPr>
            <w:tcW w:type="dxa" w:w="3216"/>
          </w:tcPr>
          <w:p>
            <w:r/>
            <w:r>
              <w:t>Monitoreo continuo (DE.CM), análisis de eventos adversos (DE.AE)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RS · Responder</w:t>
            </w:r>
          </w:p>
        </w:tc>
        <w:tc>
          <w:tcPr>
            <w:tcW w:type="dxa" w:w="3216"/>
          </w:tcPr>
          <w:p>
            <w:r/>
            <w:r>
              <w:t>Reaccionar y mitigar</w:t>
            </w:r>
          </w:p>
        </w:tc>
        <w:tc>
          <w:tcPr>
            <w:tcW w:type="dxa" w:w="3216"/>
          </w:tcPr>
          <w:p>
            <w:r/>
            <w:r>
              <w:t>Gestión de incidentes (RS.MA), análisis de incidentes (RS.AN), notificación y comunicación (RS.CO), mitigación de incidentes (RS.MI)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RC · Recuperar</w:t>
            </w:r>
          </w:p>
        </w:tc>
        <w:tc>
          <w:tcPr>
            <w:tcW w:type="dxa" w:w="3216"/>
          </w:tcPr>
          <w:p>
            <w:r/>
            <w:r>
              <w:t>Restaurar la operación</w:t>
            </w:r>
          </w:p>
        </w:tc>
        <w:tc>
          <w:tcPr>
            <w:tcW w:type="dxa" w:w="3216"/>
          </w:tcPr>
          <w:p>
            <w:r/>
            <w:r>
              <w:t>Ejecución del plan de recuperación (RC.RP), comunicación de la recuperación (RC.CO)</w:t>
            </w:r>
          </w:p>
        </w:tc>
      </w:tr>
    </w:tbl>
    <w:p>
      <w:r>
        <w:t xml:space="preserve">Cada función se divide en </w:t>
      </w:r>
      <w:r>
        <w:rPr>
          <w:b/>
        </w:rPr>
        <w:t>categorías</w:t>
      </w:r>
      <w:r>
        <w:t xml:space="preserve"> y cada categoría en </w:t>
      </w:r>
      <w:r>
        <w:rPr>
          <w:b/>
        </w:rPr>
        <w:t>subcategorías</w:t>
      </w:r>
      <w:r>
        <w:t xml:space="preserve"> (resultados concretos). A cada subcategoría el Marco le asigna </w:t>
      </w:r>
      <w:r>
        <w:rPr>
          <w:b/>
        </w:rPr>
        <w:t>requisitos</w:t>
      </w:r>
      <w:r>
        <w:t xml:space="preserve">, </w:t>
      </w:r>
      <w:r>
        <w:rPr>
          <w:b/>
        </w:rPr>
        <w:t>prioridad</w:t>
      </w:r>
      <w:r>
        <w:t xml:space="preserve"> según el perfil y </w:t>
      </w:r>
      <w:r>
        <w:rPr>
          <w:b/>
        </w:rPr>
        <w:t>referencias</w:t>
      </w:r>
      <w:r>
        <w:t xml:space="preserve"> a normas (ISO 27001, NIST 800-53, etc.).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2.3. Perfiles y modelo de madurez</w:t>
      </w:r>
    </w:p>
    <w:p>
      <w:pPr>
        <w:pStyle w:val="Heading3"/>
      </w:pPr>
      <w:r>
        <w:rPr>
          <w:color w:val="1F3B63"/>
        </w:rPr>
        <w:t>Perfiles (para priorizar)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Perfil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Riesgo percibido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Tolerancia a la indisponibilidad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Básico</w:t>
            </w:r>
          </w:p>
        </w:tc>
        <w:tc>
          <w:tcPr>
            <w:tcW w:type="dxa" w:w="3216"/>
          </w:tcPr>
          <w:p>
            <w:r/>
            <w:r>
              <w:t>Bajo</w:t>
            </w:r>
          </w:p>
        </w:tc>
        <w:tc>
          <w:tcPr>
            <w:tcW w:type="dxa" w:w="3216"/>
          </w:tcPr>
          <w:p>
            <w:r/>
            <w:r>
              <w:t>Recuperación "al mejor esfuerzo"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Estándar</w:t>
            </w:r>
          </w:p>
        </w:tc>
        <w:tc>
          <w:tcPr>
            <w:tcW w:type="dxa" w:w="3216"/>
          </w:tcPr>
          <w:p>
            <w:r/>
            <w:r>
              <w:t>Moderado, alta dependencia de TIC</w:t>
            </w:r>
          </w:p>
        </w:tc>
        <w:tc>
          <w:tcPr>
            <w:tcW w:type="dxa" w:w="3216"/>
          </w:tcPr>
          <w:p>
            <w:r/>
            <w:r>
              <w:t>No más de 48 h corridas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Avanzado</w:t>
            </w:r>
          </w:p>
        </w:tc>
        <w:tc>
          <w:tcPr>
            <w:tcW w:type="dxa" w:w="3216"/>
          </w:tcPr>
          <w:p>
            <w:r/>
            <w:r>
              <w:t>Alto (servicios críticos)</w:t>
            </w:r>
          </w:p>
        </w:tc>
        <w:tc>
          <w:tcPr>
            <w:tcW w:type="dxa" w:w="3216"/>
          </w:tcPr>
          <w:p>
            <w:r/>
            <w:r>
              <w:t>No más de 24 h corridas</w:t>
            </w:r>
          </w:p>
        </w:tc>
      </w:tr>
    </w:tbl>
    <w:p>
      <w:r>
        <w:t xml:space="preserve">El Banco, por ser banco y operar sistema de pagos, debe aspirar a </w:t>
      </w:r>
      <w:r>
        <w:rPr>
          <w:b/>
        </w:rPr>
        <w:t>perfil Avanzado</w:t>
      </w:r>
      <w:r>
        <w:t>, aunque arranque priorizando los requisitos de prioridad alta del perfil que hoy tenga.</w:t>
      </w:r>
    </w:p>
    <w:p>
      <w:pPr>
        <w:pStyle w:val="Heading3"/>
      </w:pPr>
      <w:r>
        <w:rPr>
          <w:color w:val="1F3B63"/>
        </w:rPr>
        <w:t>Modelo de madurez</w:t>
      </w:r>
    </w:p>
    <w:p>
      <w:r>
        <w:t>Permite puntuar cada subcategoría (ej. niveles 1 a 5, de "no implementado" a "optimizado"). El flujo típico:</w:t>
      </w:r>
    </w:p>
    <w:p>
      <w:pPr>
        <w:pStyle w:val="ListNumber"/>
      </w:pPr>
      <w:r>
        <w:t xml:space="preserve">Hacé un </w:t>
      </w:r>
      <w:r>
        <w:rPr>
          <w:b/>
        </w:rPr>
        <w:t>diagnóstico</w:t>
      </w:r>
      <w:r>
        <w:t xml:space="preserve"> (estado actual) con la lista de verificación de Agesic.</w:t>
      </w:r>
    </w:p>
    <w:p>
      <w:pPr>
        <w:pStyle w:val="ListNumber"/>
      </w:pPr>
      <w:r>
        <w:t xml:space="preserve">Definí el </w:t>
      </w:r>
      <w:r>
        <w:rPr>
          <w:b/>
        </w:rPr>
        <w:t>perfil objetivo</w:t>
      </w:r>
      <w:r>
        <w:t>.</w:t>
      </w:r>
    </w:p>
    <w:p>
      <w:pPr>
        <w:pStyle w:val="ListNumber"/>
      </w:pPr>
      <w:r>
        <w:t xml:space="preserve">Compará y construí el </w:t>
      </w:r>
      <w:r>
        <w:rPr>
          <w:b/>
        </w:rPr>
        <w:t>plan de acción</w:t>
      </w:r>
      <w:r>
        <w:t>.</w:t>
      </w:r>
    </w:p>
    <w:p>
      <w:pPr>
        <w:pStyle w:val="ListNumber"/>
      </w:pPr>
      <w:r>
        <w:t>Re-evaluá cada año (mejora continua).</w:t>
      </w:r>
    </w:p>
    <w:p>
      <w:pPr>
        <w:ind w:left="432"/>
      </w:pPr>
      <w:r>
        <w:rPr>
          <w:i/>
          <w:color w:val="606060"/>
        </w:rPr>
        <w:t>**Entregable asociado:** `ID-05_Perfil-Ciberseguridad.md` (estado actual / objetivo).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2.4. Guías oficiales de apoyo (usalas en el proyecto)</w:t>
      </w:r>
    </w:p>
    <w:p>
      <w:r>
        <w:t>Agesic publica material de apoyo que el Banco debe usar directamente:</w:t>
      </w:r>
    </w:p>
    <w:p>
      <w:pPr>
        <w:pStyle w:val="ListBullet"/>
      </w:pPr>
      <w:r>
        <w:rPr>
          <w:b/>
        </w:rPr>
        <w:t>Marco de Ciberseguridad 5.0</w:t>
      </w:r>
      <w:r>
        <w:t xml:space="preserve"> (el documento normativo).</w:t>
      </w:r>
    </w:p>
    <w:p>
      <w:pPr>
        <w:pStyle w:val="ListBullet"/>
      </w:pPr>
      <w:r>
        <w:rPr>
          <w:b/>
        </w:rPr>
        <w:t>Guía de implementación del MCU 5.0</w:t>
      </w:r>
      <w:r>
        <w:t xml:space="preserve"> → cómo implementar y evidenciar cada requisito.</w:t>
      </w:r>
    </w:p>
    <w:p>
      <w:pPr>
        <w:pStyle w:val="ListBullet"/>
      </w:pPr>
      <w:r>
        <w:rPr>
          <w:b/>
        </w:rPr>
        <w:t>Guía de auditoría del MCU 5.0</w:t>
      </w:r>
      <w:r>
        <w:t xml:space="preserve"> + </w:t>
      </w:r>
      <w:r>
        <w:rPr>
          <w:b/>
        </w:rPr>
        <w:t>Lista de Verificación</w:t>
      </w:r>
      <w:r>
        <w:t xml:space="preserve"> (archivo editable) → así audita Agesic.</w:t>
      </w:r>
    </w:p>
    <w:p>
      <w:pPr>
        <w:pStyle w:val="ListBullet"/>
      </w:pPr>
      <w:r>
        <w:rPr>
          <w:b/>
        </w:rPr>
        <w:t>Guía para la implementación de un SGSI</w:t>
      </w:r>
      <w:r>
        <w:t xml:space="preserve"> + </w:t>
      </w:r>
      <w:r>
        <w:rPr>
          <w:b/>
        </w:rPr>
        <w:t>planilla editable "Implantación SGSI – Inventario de activos y Evaluación de riesgos"</w:t>
      </w:r>
      <w:r>
        <w:t xml:space="preserve"> (.xlsx).</w:t>
      </w:r>
    </w:p>
    <w:p>
      <w:pPr>
        <w:pStyle w:val="ListBullet"/>
      </w:pPr>
      <w:r>
        <w:rPr>
          <w:b/>
        </w:rPr>
        <w:t>Guía sobre indicadores para un SGSI</w:t>
      </w:r>
      <w:r>
        <w:t xml:space="preserve"> → métricas.</w:t>
      </w:r>
    </w:p>
    <w:p>
      <w:pPr>
        <w:pStyle w:val="ListBullet"/>
      </w:pPr>
      <w:r>
        <w:rPr>
          <w:b/>
        </w:rPr>
        <w:t>Guía para la gestión de vulnerabilidades</w:t>
      </w:r>
      <w:r>
        <w:t xml:space="preserve"> → proceso de vulnerabilidades.</w:t>
      </w:r>
    </w:p>
    <w:p>
      <w:pPr>
        <w:pStyle w:val="ListBullet"/>
      </w:pPr>
      <w:r>
        <w:rPr>
          <w:b/>
        </w:rPr>
        <w:t>Guía de interpretación del Decreto 92/014</w:t>
      </w:r>
      <w:r>
        <w:t xml:space="preserve"> → centros de datos seguros, correo, dominios.</w:t>
      </w:r>
    </w:p>
    <w:p>
      <w:pPr>
        <w:pStyle w:val="ListBullet"/>
      </w:pPr>
      <w:r>
        <w:rPr>
          <w:b/>
        </w:rPr>
        <w:t>Matriz RACI</w:t>
      </w:r>
      <w:r>
        <w:t xml:space="preserve"> de Agesic → quién decide/informa en cada actividad.</w:t>
      </w:r>
    </w:p>
    <w:p>
      <w:pPr>
        <w:ind w:left="432"/>
      </w:pPr>
      <w:r>
        <w:rPr>
          <w:i/>
          <w:color w:val="606060"/>
        </w:rPr>
        <w:t>Todas están disponibles en el sitio de Agesic (ver enlaces en el README). Son el material de lectura del RSI.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2.5. MCU 5.0 ↔ SGSI: cómo se combinan en la práctica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Pregunta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MCU 5.0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SGSI (ISO 27001)</w:t>
            </w:r>
          </w:p>
        </w:tc>
      </w:tr>
      <w:tr>
        <w:tc>
          <w:tcPr>
            <w:tcW w:type="dxa" w:w="3216"/>
          </w:tcPr>
          <w:p>
            <w:r/>
            <w:r>
              <w:t>¿Qué gestionar?</w:t>
            </w:r>
          </w:p>
        </w:tc>
        <w:tc>
          <w:tcPr>
            <w:tcW w:type="dxa" w:w="3216"/>
          </w:tcPr>
          <w:p>
            <w:r/>
            <w:r>
              <w:t>72 requisitos por función</w:t>
            </w:r>
          </w:p>
        </w:tc>
        <w:tc>
          <w:tcPr>
            <w:tcW w:type="dxa" w:w="3216"/>
          </w:tcPr>
          <w:p>
            <w:r/>
            <w:r>
              <w:t>93 controles en 4 dominios</w:t>
            </w:r>
          </w:p>
        </w:tc>
      </w:tr>
      <w:tr>
        <w:tc>
          <w:tcPr>
            <w:tcW w:type="dxa" w:w="3216"/>
          </w:tcPr>
          <w:p>
            <w:r/>
            <w:r>
              <w:t>¿Cómo se implementa?</w:t>
            </w:r>
          </w:p>
        </w:tc>
        <w:tc>
          <w:tcPr>
            <w:tcW w:type="dxa" w:w="3216"/>
          </w:tcPr>
          <w:p>
            <w:r/>
            <w:r>
              <w:t>Guías de implementación + perfiles</w:t>
            </w:r>
          </w:p>
        </w:tc>
        <w:tc>
          <w:tcPr>
            <w:tcW w:type="dxa" w:w="3216"/>
          </w:tcPr>
          <w:p>
            <w:r/>
            <w:r>
              <w:t>Cláusulas 4-10 + Anexo A</w:t>
            </w:r>
          </w:p>
        </w:tc>
      </w:tr>
      <w:tr>
        <w:tc>
          <w:tcPr>
            <w:tcW w:type="dxa" w:w="3216"/>
          </w:tcPr>
          <w:p>
            <w:r/>
            <w:r>
              <w:t>¿Cómo se mide?</w:t>
            </w:r>
          </w:p>
        </w:tc>
        <w:tc>
          <w:tcPr>
            <w:tcW w:type="dxa" w:w="3216"/>
          </w:tcPr>
          <w:p>
            <w:r/>
            <w:r>
              <w:t>Modelo de madurez + lista de verificación</w:t>
            </w:r>
          </w:p>
        </w:tc>
        <w:tc>
          <w:tcPr>
            <w:tcW w:type="dxa" w:w="3216"/>
          </w:tcPr>
          <w:p>
            <w:r/>
            <w:r>
              <w:t>Auditorías internas + revisión por la dirección</w:t>
            </w:r>
          </w:p>
        </w:tc>
      </w:tr>
      <w:tr>
        <w:tc>
          <w:tcPr>
            <w:tcW w:type="dxa" w:w="3216"/>
          </w:tcPr>
          <w:p>
            <w:r/>
            <w:r>
              <w:t>¿Cómo se demuestra?</w:t>
            </w:r>
          </w:p>
        </w:tc>
        <w:tc>
          <w:tcPr>
            <w:tcW w:type="dxa" w:w="3216"/>
          </w:tcPr>
          <w:p>
            <w:r/>
            <w:r>
              <w:t>Autoevaluación y auditorías de Agesic</w:t>
            </w:r>
          </w:p>
        </w:tc>
        <w:tc>
          <w:tcPr>
            <w:tcW w:type="dxa" w:w="3216"/>
          </w:tcPr>
          <w:p>
            <w:r/>
            <w:r>
              <w:t>Certificación (opcional) o auditorías</w:t>
            </w:r>
          </w:p>
        </w:tc>
      </w:tr>
    </w:tbl>
    <w:p>
      <w:r>
        <w:t xml:space="preserve">En este kit cada </w:t>
      </w:r>
      <w:r>
        <w:rPr>
          <w:b/>
        </w:rPr>
        <w:t>entregable</w:t>
      </w:r>
      <w:r>
        <w:t xml:space="preserve"> de </w:t>
      </w:r>
      <w:r>
        <w:rPr>
          <w:rFonts w:ascii="Consolas" w:hAnsi="Consolas"/>
          <w:sz w:val="20"/>
        </w:rPr>
        <w:t>02-ENTREGABLES/</w:t>
      </w:r>
      <w:r>
        <w:t xml:space="preserve"> declara qué requisito del MCU 5.0, qué control ISO 27001 y qué norma BCU/URCDP cubre (ver </w:t>
      </w:r>
      <w:r>
        <w:rPr>
          <w:rFonts w:ascii="Consolas" w:hAnsi="Consolas"/>
          <w:sz w:val="20"/>
        </w:rPr>
        <w:t>00-Matriz-Correspondencia-Normativa.md</w:t>
      </w:r>
      <w:r>
        <w:t>).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2.6. Autoexamen</w:t>
      </w:r>
    </w:p>
    <w:p>
      <w:pPr>
        <w:pStyle w:val="ListNumber"/>
      </w:pPr>
      <w:r>
        <w:t>¿Cuántos requisitos tiene el MCU 5.0 y en cuántas funciones se organizan?</w:t>
      </w:r>
    </w:p>
    <w:p>
      <w:pPr>
        <w:pStyle w:val="ListNumber"/>
      </w:pPr>
      <w:r>
        <w:t>¿Cuáles son las 6 funciones y qué pregunta responde cada una?</w:t>
      </w:r>
    </w:p>
    <w:p>
      <w:pPr>
        <w:pStyle w:val="ListNumber"/>
      </w:pPr>
      <w:r>
        <w:t>¿Qué perfil debe aspirar el Banco y por qué?</w:t>
      </w:r>
    </w:p>
    <w:p>
      <w:pPr>
        <w:pStyle w:val="ListNumber"/>
      </w:pPr>
      <w:r>
        <w:t>¿Qué es el modelo de madurez y para qué sirve?</w:t>
      </w:r>
    </w:p>
    <w:p>
      <w:pPr>
        <w:pStyle w:val="ListNumber"/>
      </w:pPr>
      <w:r>
        <w:t>¿Cómo se relaciona el MCU 5.0 con un SGSI ISO 27001?</w:t>
      </w:r>
    </w:p>
    <w:p>
      <w:pPr>
        <w:spacing w:before="120" w:after="120"/>
      </w:pPr>
    </w:p>
    <w:p>
      <w:r>
        <w:rPr>
          <w:b/>
        </w:rPr>
        <w:t>Siguiente:</w:t>
      </w:r>
      <w:r>
        <w:t xml:space="preserve"> </w:t>
      </w:r>
      <w:r>
        <w:rPr>
          <w:rFonts w:ascii="Consolas" w:hAnsi="Consolas"/>
          <w:sz w:val="20"/>
        </w:rPr>
        <w:t>03-SGSI-ISO-27001.md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