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Módulo 6 · Datos personales: obligaciones del Banco ante la URCDP</w:t>
      </w:r>
    </w:p>
    <w:p>
      <w:pPr>
        <w:ind w:left="432"/>
      </w:pPr>
      <w:r>
        <w:rPr>
          <w:i/>
          <w:color w:val="606060"/>
        </w:rPr>
        <w:t>Nivel del curso: 🟡 Practicar → 🔴 Dominar</w:t>
      </w:r>
    </w:p>
    <w:p>
      <w:pPr>
        <w:ind w:left="432"/>
      </w:pPr>
      <w:r>
        <w:rPr>
          <w:i/>
          <w:color w:val="606060"/>
        </w:rPr>
        <w:t>Objetivo: dominar la normativa de **protección de datos personales** aplicable al Banco: principios, obligaciones formales, seguridad, derechos de los titulares y comunicación de vulneraciones.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6.1. El marco normativo (memorizalo)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 central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18.331</w:t>
            </w:r>
            <w:r>
              <w:t xml:space="preserve"> (2008)</w:t>
            </w:r>
          </w:p>
        </w:tc>
        <w:tc>
          <w:tcPr>
            <w:tcW w:type="dxa" w:w="4824"/>
          </w:tcPr>
          <w:p>
            <w:r/>
            <w:r>
              <w:t>Ley de Protección de Datos Personales y Acción de Habeas Data. Principios y derechos.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414/009</w:t>
            </w:r>
          </w:p>
        </w:tc>
        <w:tc>
          <w:tcPr>
            <w:tcW w:type="dxa" w:w="4824"/>
          </w:tcPr>
          <w:p>
            <w:r/>
            <w:r>
              <w:t>Reglamentación de la Ley 18.331: medidas de seguridad (arts. 7-8), inscripción de bases de datos.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19.670</w:t>
            </w:r>
            <w:r>
              <w:t xml:space="preserve"> (2018)</w:t>
            </w:r>
          </w:p>
        </w:tc>
        <w:tc>
          <w:tcPr>
            <w:tcW w:type="dxa" w:w="4824"/>
          </w:tcPr>
          <w:p>
            <w:r/>
            <w:r>
              <w:t xml:space="preserve">Reforma: responsabilidad proactiva, </w:t>
            </w:r>
            <w:r>
              <w:rPr>
                <w:b/>
              </w:rPr>
              <w:t>Delegado de Protección de Datos (DPD)</w:t>
            </w:r>
            <w:r>
              <w:t xml:space="preserve">, </w:t>
            </w:r>
            <w:r>
              <w:rPr>
                <w:b/>
              </w:rPr>
              <w:t>comunicación de vulneraciones</w:t>
            </w:r>
            <w:r>
              <w:t xml:space="preserve"> (art. 38).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64/020</w:t>
            </w:r>
          </w:p>
        </w:tc>
        <w:tc>
          <w:tcPr>
            <w:tcW w:type="dxa" w:w="4824"/>
          </w:tcPr>
          <w:p>
            <w:r/>
            <w:r>
              <w:t xml:space="preserve">Reglamenta la Ley 19.670: seguridad (arts. 3-4), plazos de notificación, </w:t>
            </w:r>
            <w:r>
              <w:rPr>
                <w:b/>
              </w:rPr>
              <w:t>evaluaciones de impacto</w:t>
            </w:r>
            <w:r>
              <w:t xml:space="preserve"> (art. 6 lit. f), </w:t>
            </w:r>
            <w:r>
              <w:rPr>
                <w:b/>
              </w:rPr>
              <w:t>privacidad por diseño</w:t>
            </w:r>
            <w:r>
              <w:t xml:space="preserve"> (arts. 7-8).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Resolución 41/021</w:t>
            </w:r>
          </w:p>
        </w:tc>
        <w:tc>
          <w:tcPr>
            <w:tcW w:type="dxa" w:w="4824"/>
          </w:tcPr>
          <w:p>
            <w:r/>
            <w:r>
              <w:t xml:space="preserve">Salvaguardas para </w:t>
            </w:r>
            <w:r>
              <w:rPr>
                <w:b/>
              </w:rPr>
              <w:t>transferencias internacionales</w:t>
            </w:r>
            <w:r>
              <w:t xml:space="preserve"> de datos.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6.2. Los principios de la Ley 18.331 (arts. 4 a 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En criollo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Licitud</w:t>
            </w:r>
          </w:p>
        </w:tc>
        <w:tc>
          <w:tcPr>
            <w:tcW w:type="dxa" w:w="4824"/>
          </w:tcPr>
          <w:p>
            <w:r/>
            <w:r>
              <w:t>Tratar datos solo cuando hay base legal (consentimiento u otra habilitación)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Calidad</w:t>
            </w:r>
          </w:p>
        </w:tc>
        <w:tc>
          <w:tcPr>
            <w:tcW w:type="dxa" w:w="4824"/>
          </w:tcPr>
          <w:p>
            <w:r/>
            <w:r>
              <w:t>Datos exactos, completos y actualizados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Consentimiento</w:t>
            </w:r>
          </w:p>
        </w:tc>
        <w:tc>
          <w:tcPr>
            <w:tcW w:type="dxa" w:w="4824"/>
          </w:tcPr>
          <w:p>
            <w:r/>
            <w:r>
              <w:t>Pedir autorización expresa e informada, salvo excepciones legales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Finalidad</w:t>
            </w:r>
          </w:p>
        </w:tc>
        <w:tc>
          <w:tcPr>
            <w:tcW w:type="dxa" w:w="4824"/>
          </w:tcPr>
          <w:p>
            <w:r/>
            <w:r>
              <w:t>Usar los datos solo para la finalidad declarada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Seguridad</w:t>
            </w:r>
          </w:p>
        </w:tc>
        <w:tc>
          <w:tcPr>
            <w:tcW w:type="dxa" w:w="4824"/>
          </w:tcPr>
          <w:p>
            <w:r/>
            <w:r>
              <w:t>Medidas necesarias para evitar adulteración, pérdida o acceso no autorizado (art. 10)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Reserva</w:t>
            </w:r>
          </w:p>
        </w:tc>
        <w:tc>
          <w:tcPr>
            <w:tcW w:type="dxa" w:w="4824"/>
          </w:tcPr>
          <w:p>
            <w:r/>
            <w:r>
              <w:t>Confidencialidad de los datos incluso después de finalizar la relación</w:t>
            </w:r>
          </w:p>
        </w:tc>
      </w:tr>
    </w:tbl>
    <w:p>
      <w:pPr>
        <w:pStyle w:val="Heading3"/>
      </w:pPr>
      <w:r>
        <w:rPr>
          <w:color w:val="1F3B63"/>
        </w:rPr>
        <w:t>El principio de seguridad (art. 10) — el que más nos importa</w:t>
      </w:r>
    </w:p>
    <w:p>
      <w:pPr>
        <w:ind w:left="432"/>
      </w:pPr>
      <w:r>
        <w:rPr>
          <w:i/>
          <w:color w:val="606060"/>
        </w:rPr>
        <w:t>"El responsable o usuario de la base de datos debe adoptar las medidas que resultaren necesarias para garantizar la seguridad y confidencialidad de los datos personales... **Queda prohibido registrar datos personales en bases de datos que no reúnan condiciones técnicas de integridad y seguridad.**"</w:t>
      </w:r>
    </w:p>
    <w:p>
      <w:r>
        <w:t xml:space="preserve">El Decreto 64/020 refuerza que las medidas deben ser </w:t>
      </w:r>
      <w:r>
        <w:rPr>
          <w:b/>
        </w:rPr>
        <w:t>necesarias</w:t>
      </w:r>
      <w:r>
        <w:t xml:space="preserve"> (no solo "idóneas") y sugiere </w:t>
      </w:r>
      <w:r>
        <w:rPr>
          <w:b/>
        </w:rPr>
        <w:t>valorar la adopción de estándares nacionales e internacionales</w:t>
      </w:r>
      <w:r>
        <w:t xml:space="preserve"> — señalando expresamente el </w:t>
      </w:r>
      <w:r>
        <w:rPr>
          <w:b/>
        </w:rPr>
        <w:t>Marco de Ciberseguridad de Agesic</w:t>
      </w:r>
      <w:r>
        <w:t>. Es la razón por la que este kit integra MCU 5.0 +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6.3. Obligaciones concretas del Banco (sector público)</w:t>
      </w:r>
    </w:p>
    <w:p>
      <w:r>
        <w:t>Según la URCDP, el Banco como organismo público debe:</w:t>
      </w:r>
    </w:p>
    <w:p>
      <w:pPr>
        <w:pStyle w:val="ListNumber"/>
      </w:pPr>
      <w:r>
        <w:rPr>
          <w:b/>
        </w:rPr>
        <w:t>Inscribir sus bases de datos</w:t>
      </w:r>
      <w:r>
        <w:t xml:space="preserve"> de datos personales ante la URCDP (art. 22 Ley 18.331). → </w:t>
      </w:r>
      <w:r>
        <w:rPr>
          <w:rFonts w:ascii="Consolas" w:hAnsi="Consolas"/>
          <w:sz w:val="20"/>
        </w:rPr>
        <w:t>URCDP-04</w:t>
      </w:r>
    </w:p>
    <w:p>
      <w:pPr>
        <w:pStyle w:val="ListNumber"/>
      </w:pPr>
      <w:r>
        <w:t xml:space="preserve">Solicitar </w:t>
      </w:r>
      <w:r>
        <w:rPr>
          <w:b/>
        </w:rPr>
        <w:t>consentimiento</w:t>
      </w:r>
      <w:r>
        <w:t xml:space="preserve"> (salvo excepciones). → </w:t>
      </w:r>
      <w:r>
        <w:rPr>
          <w:rFonts w:ascii="Consolas" w:hAnsi="Consolas"/>
          <w:sz w:val="20"/>
        </w:rPr>
        <w:t>URCDP-03</w:t>
      </w:r>
    </w:p>
    <w:p>
      <w:pPr>
        <w:pStyle w:val="ListNumber"/>
      </w:pPr>
      <w:r>
        <w:t xml:space="preserve">Cumplir todos los </w:t>
      </w:r>
      <w:r>
        <w:rPr>
          <w:b/>
        </w:rPr>
        <w:t>principios</w:t>
      </w:r>
      <w:r>
        <w:t>.</w:t>
      </w:r>
    </w:p>
    <w:p>
      <w:pPr>
        <w:pStyle w:val="ListNumber"/>
      </w:pPr>
      <w:r>
        <w:t xml:space="preserve">Facilitar el ejercicio de los </w:t>
      </w:r>
      <w:r>
        <w:rPr>
          <w:b/>
        </w:rPr>
        <w:t>derechos ARCO</w:t>
      </w:r>
      <w:r>
        <w:t xml:space="preserve"> (Acceso, Rectificación, Cancelación, Oposición) y la </w:t>
      </w:r>
      <w:r>
        <w:rPr>
          <w:b/>
        </w:rPr>
        <w:t>impugnación de valoraciones personales</w:t>
      </w:r>
      <w:r>
        <w:t xml:space="preserve">. → </w:t>
      </w:r>
      <w:r>
        <w:rPr>
          <w:rFonts w:ascii="Consolas" w:hAnsi="Consolas"/>
          <w:sz w:val="20"/>
        </w:rPr>
        <w:t>URCDP-03</w:t>
      </w:r>
    </w:p>
    <w:p>
      <w:pPr>
        <w:pStyle w:val="ListNumber"/>
      </w:pPr>
      <w:r>
        <w:t xml:space="preserve">Implementar </w:t>
      </w:r>
      <w:r>
        <w:rPr>
          <w:b/>
        </w:rPr>
        <w:t>medidas de seguridad</w:t>
      </w:r>
      <w:r>
        <w:t xml:space="preserve"> para el almacenamiento y gestión. → </w:t>
      </w:r>
      <w:r>
        <w:rPr>
          <w:rFonts w:ascii="Consolas" w:hAnsi="Consolas"/>
          <w:sz w:val="20"/>
        </w:rPr>
        <w:t>URCDP-01</w:t>
      </w:r>
    </w:p>
    <w:p>
      <w:pPr>
        <w:pStyle w:val="ListNumber"/>
      </w:pPr>
      <w:r>
        <w:t xml:space="preserve">Adoptar </w:t>
      </w:r>
      <w:r>
        <w:rPr>
          <w:b/>
        </w:rPr>
        <w:t>cláusulas de tratamiento</w:t>
      </w:r>
      <w:r>
        <w:t xml:space="preserve"> en contratos con encargados. → </w:t>
      </w:r>
      <w:r>
        <w:rPr>
          <w:rFonts w:ascii="Consolas" w:hAnsi="Consolas"/>
          <w:sz w:val="20"/>
        </w:rPr>
        <w:t>PR-08</w:t>
      </w:r>
    </w:p>
    <w:p>
      <w:pPr>
        <w:pStyle w:val="ListNumber"/>
      </w:pPr>
      <w:r>
        <w:rPr>
          <w:b/>
        </w:rPr>
        <w:t>Capacitar</w:t>
      </w:r>
      <w:r>
        <w:t xml:space="preserve"> a los funcionarios en tratamiento de datos. → </w:t>
      </w:r>
      <w:r>
        <w:rPr>
          <w:rFonts w:ascii="Consolas" w:hAnsi="Consolas"/>
          <w:sz w:val="20"/>
        </w:rPr>
        <w:t>PR-02</w:t>
      </w:r>
    </w:p>
    <w:p>
      <w:pPr>
        <w:pStyle w:val="ListNumber"/>
      </w:pPr>
      <w:r>
        <w:t xml:space="preserve">Contar con </w:t>
      </w:r>
      <w:r>
        <w:rPr>
          <w:b/>
        </w:rPr>
        <w:t>políticas de privacidad</w:t>
      </w:r>
      <w:r>
        <w:t xml:space="preserve"> en su sitio web. → </w:t>
      </w:r>
      <w:r>
        <w:rPr>
          <w:rFonts w:ascii="Consolas" w:hAnsi="Consolas"/>
          <w:sz w:val="20"/>
        </w:rPr>
        <w:t>URCDP-01</w:t>
      </w:r>
    </w:p>
    <w:p>
      <w:pPr>
        <w:pStyle w:val="ListNumber"/>
      </w:pPr>
      <w:r>
        <w:t xml:space="preserve">Si usa </w:t>
      </w:r>
      <w:r>
        <w:rPr>
          <w:b/>
        </w:rPr>
        <w:t>videovigilancia</w:t>
      </w:r>
      <w:r>
        <w:t xml:space="preserve">: cartelería aprobada + inscribir la base. → </w:t>
      </w:r>
      <w:r>
        <w:rPr>
          <w:rFonts w:ascii="Consolas" w:hAnsi="Consolas"/>
          <w:sz w:val="20"/>
        </w:rPr>
        <w:t>PR-04</w:t>
      </w:r>
    </w:p>
    <w:p>
      <w:pPr>
        <w:pStyle w:val="ListNumber"/>
      </w:pPr>
      <w:r>
        <w:t xml:space="preserve">Designar un </w:t>
      </w:r>
      <w:r>
        <w:rPr>
          <w:b/>
        </w:rPr>
        <w:t>Delegado de Protección de Datos (DPD)</w:t>
      </w:r>
      <w:r>
        <w:t xml:space="preserve">. → </w:t>
      </w:r>
      <w:r>
        <w:rPr>
          <w:rFonts w:ascii="Consolas" w:hAnsi="Consolas"/>
          <w:sz w:val="20"/>
        </w:rPr>
        <w:t>URCDP-06</w:t>
      </w:r>
    </w:p>
    <w:p>
      <w:pPr>
        <w:pStyle w:val="ListNumber"/>
      </w:pPr>
      <w:r>
        <w:t xml:space="preserve">Realizar </w:t>
      </w:r>
      <w:r>
        <w:rPr>
          <w:b/>
        </w:rPr>
        <w:t>evaluaciones de impacto</w:t>
      </w:r>
      <w:r>
        <w:t xml:space="preserve"> cuando corresponda. → </w:t>
      </w:r>
      <w:r>
        <w:rPr>
          <w:rFonts w:ascii="Consolas" w:hAnsi="Consolas"/>
          <w:sz w:val="20"/>
        </w:rPr>
        <w:t>URCDP-05</w:t>
      </w:r>
    </w:p>
    <w:p>
      <w:pPr>
        <w:pStyle w:val="ListNumber"/>
      </w:pPr>
      <w:r>
        <w:t xml:space="preserve">Comunicar </w:t>
      </w:r>
      <w:r>
        <w:rPr>
          <w:b/>
        </w:rPr>
        <w:t>vulneraciones de seguridad</w:t>
      </w:r>
      <w:r>
        <w:t xml:space="preserve">. → </w:t>
      </w:r>
      <w:r>
        <w:rPr>
          <w:rFonts w:ascii="Consolas" w:hAnsi="Consolas"/>
          <w:sz w:val="20"/>
        </w:rPr>
        <w:t>URCDP-02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6.4. Comunicación de vulneraciones de seguridad (art. 38 Ley 19.670 / Decreto 64/020)</w:t>
      </w:r>
    </w:p>
    <w:p>
      <w:r>
        <w:t xml:space="preserve">Es la obligación con </w:t>
      </w:r>
      <w:r>
        <w:rPr>
          <w:b/>
        </w:rPr>
        <w:t>plazos estrictos</w:t>
      </w:r>
      <w:r>
        <w:t>. Resumen operativo: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4824"/>
          </w:tcPr>
          <w:p>
            <w:r/>
            <w:r>
              <w:t xml:space="preserve">Iniciar los </w:t>
            </w:r>
            <w:r>
              <w:rPr>
                <w:b/>
              </w:rPr>
              <w:t>procedimientos</w:t>
            </w:r>
            <w:r>
              <w:t xml:space="preserve"> para minimizar el impacto desde que se constata el incidente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24 h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Comunicar a la </w:t>
            </w:r>
            <w:r>
              <w:rPr>
                <w:b/>
              </w:rPr>
              <w:t>URCDP</w:t>
            </w:r>
            <w:r>
              <w:t xml:space="preserve"> la vulneración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máx. 72 h</w:t>
            </w:r>
            <w:r>
              <w:t xml:space="preserve"> desde que se conoce (la URCDP recomienda cuanto antes, y en su portal señala el plazo de 24 h para la notificación vía el sistema)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Comunicar a los </w:t>
            </w:r>
            <w:r>
              <w:rPr>
                <w:b/>
              </w:rPr>
              <w:t>titulares</w:t>
            </w:r>
            <w:r>
              <w:t xml:space="preserve"> de los datos afectados</w:t>
            </w:r>
          </w:p>
        </w:tc>
        <w:tc>
          <w:tcPr>
            <w:tcW w:type="dxa" w:w="4824"/>
          </w:tcPr>
          <w:p>
            <w:r/>
            <w:r>
              <w:t>inmediatamente y pormenorizadamente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Coordinar con </w:t>
            </w:r>
            <w:r>
              <w:rPr>
                <w:b/>
              </w:rPr>
              <w:t>CERTuy</w:t>
            </w:r>
          </w:p>
        </w:tc>
        <w:tc>
          <w:tcPr>
            <w:tcW w:type="dxa" w:w="4824"/>
          </w:tcPr>
          <w:p>
            <w:r/>
            <w:r>
              <w:t>la URCDP coordina el curso de acción</w:t>
            </w:r>
          </w:p>
        </w:tc>
      </w:tr>
    </w:tbl>
    <w:p>
      <w:pPr>
        <w:pStyle w:val="Heading3"/>
      </w:pPr>
      <w:r>
        <w:rPr>
          <w:color w:val="1F3B63"/>
        </w:rPr>
        <w:t>Contenido mínimo de la comunicación</w:t>
      </w:r>
    </w:p>
    <w:p>
      <w:pPr>
        <w:pStyle w:val="ListBullet"/>
      </w:pPr>
      <w:r>
        <w:t xml:space="preserve">Fecha cierta o estimada de la vulneración y su </w:t>
      </w:r>
      <w:r>
        <w:rPr>
          <w:b/>
        </w:rPr>
        <w:t>naturaleza</w:t>
      </w:r>
      <w:r>
        <w:t>.</w:t>
      </w:r>
    </w:p>
    <w:p>
      <w:pPr>
        <w:pStyle w:val="ListBullet"/>
      </w:pPr>
      <w:r>
        <w:rPr>
          <w:b/>
        </w:rPr>
        <w:t>Datos personales afectados</w:t>
      </w:r>
      <w:r>
        <w:t xml:space="preserve"> y titulares involucrados.</w:t>
      </w:r>
    </w:p>
    <w:p>
      <w:pPr>
        <w:pStyle w:val="ListBullet"/>
      </w:pPr>
      <w:r>
        <w:rPr>
          <w:b/>
        </w:rPr>
        <w:t>Impactos</w:t>
      </w:r>
      <w:r>
        <w:t xml:space="preserve"> potenciales.</w:t>
      </w:r>
    </w:p>
    <w:p>
      <w:pPr>
        <w:pStyle w:val="ListBullet"/>
      </w:pPr>
      <w:r>
        <w:rPr>
          <w:b/>
        </w:rPr>
        <w:t>Medidas adoptadas</w:t>
      </w:r>
      <w:r>
        <w:t xml:space="preserve"> o a adoptar.</w:t>
      </w:r>
    </w:p>
    <w:p>
      <w:pPr>
        <w:ind w:left="432"/>
      </w:pPr>
      <w:r>
        <w:rPr>
          <w:i/>
          <w:color w:val="606060"/>
        </w:rPr>
        <w:t>**Entregable crítico:** `RS-02` (procedimiento) y `URCDP-02` (formulario/guía). El RSI debe poder notificar **en horas**, no en semanas.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6.5. El Delegado de Protección de Datos (DPD)</w:t>
      </w:r>
    </w:p>
    <w:p>
      <w:r>
        <w:t xml:space="preserve">Es </w:t>
      </w:r>
      <w:r>
        <w:rPr>
          <w:b/>
        </w:rPr>
        <w:t>obligatorio</w:t>
      </w:r>
      <w:r>
        <w:t xml:space="preserve"> designarlo cuando:</w:t>
      </w:r>
    </w:p>
    <w:p>
      <w:pPr>
        <w:pStyle w:val="ListBullet"/>
      </w:pPr>
      <w:r>
        <w:t xml:space="preserve">Se tratan </w:t>
      </w:r>
      <w:r>
        <w:rPr>
          <w:b/>
        </w:rPr>
        <w:t>datos sensibles como negocio principal</w:t>
      </w:r>
      <w:r>
        <w:t xml:space="preserve"> (origen racial, preferencias políticas, convicciones religiosas/morales, afiliación sindical, salud o vida sexual), </w:t>
      </w:r>
      <w:r>
        <w:rPr>
          <w:b/>
        </w:rPr>
        <w:t>o</w:t>
      </w:r>
    </w:p>
    <w:p>
      <w:pPr>
        <w:pStyle w:val="ListBullet"/>
      </w:pPr>
      <w:r>
        <w:t xml:space="preserve">Se tratan datos de </w:t>
      </w:r>
      <w:r>
        <w:rPr>
          <w:b/>
        </w:rPr>
        <w:t>más de 35.000 personas</w:t>
      </w:r>
      <w:r>
        <w:t xml:space="preserve"> (sumando todas las bases de datos).</w:t>
      </w:r>
    </w:p>
    <w:p>
      <w:r>
        <w:t xml:space="preserve">El Banco claramente supera los 35.000 titulares → </w:t>
      </w:r>
      <w:r>
        <w:rPr>
          <w:b/>
        </w:rPr>
        <w:t>debe designar DPD</w:t>
      </w:r>
      <w:r>
        <w:t xml:space="preserve"> y comunicar la designación a la URCDP vía su sistema de gestión.</w:t>
      </w:r>
    </w:p>
    <w:p>
      <w:pPr>
        <w:pStyle w:val="Heading3"/>
      </w:pPr>
      <w:r>
        <w:rPr>
          <w:color w:val="1F3B63"/>
        </w:rPr>
        <w:t>Funciones del DPD</w:t>
      </w:r>
    </w:p>
    <w:p>
      <w:pPr>
        <w:pStyle w:val="ListBullet"/>
      </w:pPr>
      <w:r>
        <w:t>Supervisar el cumplimiento de la normativa de datos.</w:t>
      </w:r>
    </w:p>
    <w:p>
      <w:pPr>
        <w:pStyle w:val="ListBullet"/>
      </w:pPr>
      <w:r>
        <w:t>Asesorar sobre evaluaciones de impacto.</w:t>
      </w:r>
    </w:p>
    <w:p>
      <w:pPr>
        <w:pStyle w:val="ListBullet"/>
      </w:pPr>
      <w:r>
        <w:t>Cooperar con la URCDP.</w:t>
      </w:r>
    </w:p>
    <w:p>
      <w:pPr>
        <w:pStyle w:val="ListBullet"/>
      </w:pPr>
      <w:r>
        <w:t>Gestionar las solicitudes de derechos.</w:t>
      </w:r>
    </w:p>
    <w:p>
      <w:pPr>
        <w:pStyle w:val="ListBullet"/>
      </w:pPr>
      <w:r>
        <w:t>Coordinar la comunicación de vulneraciones.</w:t>
      </w:r>
    </w:p>
    <w:p>
      <w:pPr>
        <w:ind w:left="432"/>
      </w:pPr>
      <w:r>
        <w:rPr>
          <w:i/>
          <w:color w:val="606060"/>
        </w:rPr>
        <w:t>**Entregable:** `URCDP-06`. Diferenciá DPD (datos personales) de RSI (seguridad de la información); en el Banco se recomienda que sean roles distintos que se coordinan.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6.6. Evaluación de Impacto en Protección de Datos (EIPD)</w:t>
      </w:r>
    </w:p>
    <w:p>
      <w:r>
        <w:t>Obligatoria (art. 6 lit. f Decreto 64/020) cuando el tratamiento implique, entre otros:</w:t>
      </w:r>
    </w:p>
    <w:p>
      <w:pPr>
        <w:pStyle w:val="ListBullet"/>
      </w:pPr>
      <w:r>
        <w:t xml:space="preserve">Datos </w:t>
      </w:r>
      <w:r>
        <w:rPr>
          <w:b/>
        </w:rPr>
        <w:t>sensibles</w:t>
      </w:r>
      <w:r>
        <w:t>.</w:t>
      </w:r>
    </w:p>
    <w:p>
      <w:pPr>
        <w:pStyle w:val="ListBullet"/>
      </w:pPr>
      <w:r>
        <w:t xml:space="preserve">Datos de </w:t>
      </w:r>
      <w:r>
        <w:rPr>
          <w:b/>
        </w:rPr>
        <w:t>personas vulnerables o especialmente protegidas</w:t>
      </w:r>
      <w:r>
        <w:t>.</w:t>
      </w:r>
    </w:p>
    <w:p>
      <w:pPr>
        <w:pStyle w:val="ListBullet"/>
      </w:pPr>
      <w:r>
        <w:t xml:space="preserve">Datos de </w:t>
      </w:r>
      <w:r>
        <w:rPr>
          <w:b/>
        </w:rPr>
        <w:t>más de 35.000 personas</w:t>
      </w:r>
      <w:r>
        <w:t>.</w:t>
      </w:r>
    </w:p>
    <w:p>
      <w:pPr>
        <w:pStyle w:val="ListBullet"/>
      </w:pPr>
      <w:r>
        <w:rPr>
          <w:b/>
        </w:rPr>
        <w:t>Transferencias</w:t>
      </w:r>
      <w:r>
        <w:t xml:space="preserve"> a países no adecuados.</w:t>
      </w:r>
    </w:p>
    <w:p>
      <w:pPr>
        <w:pStyle w:val="ListBullet"/>
      </w:pPr>
      <w:r>
        <w:t xml:space="preserve">Datos </w:t>
      </w:r>
      <w:r>
        <w:rPr>
          <w:b/>
        </w:rPr>
        <w:t>biométricos</w:t>
      </w:r>
      <w:r>
        <w:t>.</w:t>
      </w:r>
    </w:p>
    <w:p>
      <w:pPr>
        <w:pStyle w:val="ListBullet"/>
      </w:pPr>
      <w:r>
        <w:t xml:space="preserve">Toma de </w:t>
      </w:r>
      <w:r>
        <w:rPr>
          <w:b/>
        </w:rPr>
        <w:t>decisiones automatizadas</w:t>
      </w:r>
      <w:r>
        <w:t xml:space="preserve"> con efectos jurídicos.</w:t>
      </w:r>
    </w:p>
    <w:p>
      <w:pPr>
        <w:ind w:left="432"/>
      </w:pPr>
      <w:r>
        <w:rPr>
          <w:i/>
          <w:color w:val="606060"/>
        </w:rPr>
        <w:t>**Entregable:** `URCDP-05` (plantilla EIPD con ejemplo Banco: p. ej. tratamiento de datos de salud en garantías, videovigilancia en sucursales, Banco En Línea).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6.7. Privacidad por diseño y por defecto</w:t>
      </w:r>
    </w:p>
    <w:p>
      <w:r>
        <w:t>Desde la concepción de cada producto/proceso que trate datos personales hay que incorporar medidas (Decreto 64/020 arts. 7-8):</w:t>
      </w:r>
    </w:p>
    <w:p>
      <w:pPr>
        <w:pStyle w:val="ListBullet"/>
      </w:pPr>
      <w:r>
        <w:rPr>
          <w:b/>
        </w:rPr>
        <w:t>Minimización</w:t>
      </w:r>
      <w:r>
        <w:t xml:space="preserve"> de datos (recoger solo lo necesario).</w:t>
      </w:r>
    </w:p>
    <w:p>
      <w:pPr>
        <w:pStyle w:val="ListBullet"/>
      </w:pPr>
      <w:r>
        <w:rPr>
          <w:b/>
        </w:rPr>
        <w:t>Disociación / seudonimización</w:t>
      </w:r>
      <w:r>
        <w:t>.</w:t>
      </w:r>
    </w:p>
    <w:p>
      <w:pPr>
        <w:pStyle w:val="ListBullet"/>
      </w:pPr>
      <w:r>
        <w:t xml:space="preserve">Mecanismos para el </w:t>
      </w:r>
      <w:r>
        <w:rPr>
          <w:b/>
        </w:rPr>
        <w:t>ejercicio de derechos</w:t>
      </w:r>
      <w:r>
        <w:t>.</w:t>
      </w:r>
    </w:p>
    <w:p>
      <w:pPr>
        <w:pStyle w:val="ListBullet"/>
      </w:pPr>
      <w:r>
        <w:t xml:space="preserve">Documentación del </w:t>
      </w:r>
      <w:r>
        <w:rPr>
          <w:b/>
        </w:rPr>
        <w:t>consentimiento</w:t>
      </w:r>
      <w:r>
        <w:t>.</w:t>
      </w:r>
    </w:p>
    <w:p>
      <w:pPr>
        <w:pStyle w:val="ListBullet"/>
      </w:pPr>
      <w:r>
        <w:t xml:space="preserve">Configuraciones por defecto </w:t>
      </w:r>
      <w:r>
        <w:rPr>
          <w:b/>
        </w:rPr>
        <w:t>privadas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6.8. Autoexamen</w:t>
      </w:r>
    </w:p>
    <w:p>
      <w:pPr>
        <w:pStyle w:val="ListNumber"/>
      </w:pPr>
      <w:r>
        <w:t>Nombrá los 4 principios de la Ley 18.331 que consideres más relevantes para seguridad.</w:t>
      </w:r>
    </w:p>
    <w:p>
      <w:pPr>
        <w:pStyle w:val="ListNumber"/>
      </w:pPr>
      <w:r>
        <w:t>¿Qué dice el art. 10 y por qué conecta con el MCU 5.0?</w:t>
      </w:r>
    </w:p>
    <w:p>
      <w:pPr>
        <w:pStyle w:val="ListNumber"/>
      </w:pPr>
      <w:r>
        <w:t>¿Cuáles son los plazos de notificación de una vulneración (24 h / 72 h)?</w:t>
      </w:r>
    </w:p>
    <w:p>
      <w:pPr>
        <w:pStyle w:val="ListNumber"/>
      </w:pPr>
      <w:r>
        <w:t>¿Cuándo es obligatorio designar DPD? ¿Al Banco le corresponde?</w:t>
      </w:r>
    </w:p>
    <w:p>
      <w:pPr>
        <w:pStyle w:val="ListNumber"/>
      </w:pPr>
      <w:r>
        <w:t>¿Qué tratamientos exigen una EIPD?</w:t>
      </w:r>
    </w:p>
    <w:p>
      <w:pPr>
        <w:spacing w:before="120" w:after="120"/>
      </w:pPr>
    </w:p>
    <w:p>
      <w:r>
        <w:rPr>
          <w:b/>
        </w:rPr>
        <w:t>Siguiente:</w:t>
      </w:r>
      <w:r>
        <w:t xml:space="preserve"> </w:t>
      </w:r>
      <w:r>
        <w:rPr>
          <w:rFonts w:ascii="Consolas" w:hAnsi="Consolas"/>
          <w:sz w:val="20"/>
        </w:rPr>
        <w:t>07-Organigrama.md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