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GV-04 · Plan Anual de Seguridad de la Información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(GV.OV — Supervisión del SGSI; GV.RM — Estrategia de riesgos)</w:t>
      </w:r>
    </w:p>
    <w:p>
      <w:pPr>
        <w:ind w:left="432"/>
      </w:pPr>
      <w:r>
        <w:rPr>
          <w:i/>
          <w:color w:val="606060"/>
        </w:rPr>
        <w:t>**ISO/IEC 27001:** Cláusula 6.2 (Objetivos de seguridad de la información y planificación) · 6.1 (acciones frente a riesgos)</w:t>
      </w:r>
    </w:p>
    <w:p>
      <w:pPr>
        <w:ind w:left="432"/>
      </w:pPr>
      <w:r>
        <w:rPr>
          <w:i/>
          <w:color w:val="606060"/>
        </w:rPr>
        <w:t>**BCU:** Estándares Mínimos de Gestión — Gobierno de la ciberseguridad</w:t>
      </w:r>
    </w:p>
    <w:p>
      <w:pPr>
        <w:ind w:left="432"/>
      </w:pPr>
      <w:r>
        <w:rPr>
          <w:i/>
          <w:color w:val="606060"/>
        </w:rPr>
        <w:t>**URCDP:** Ley 18.331 art. 10 y Decreto 64/020 (medidas y planes de seguridad)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Anual de Seguridad de la Información</w:t>
      </w:r>
      <w:r>
        <w:t xml:space="preserve"> convierte las intenciones de la Política (GV-01) en </w:t>
      </w:r>
      <w:r>
        <w:rPr>
          <w:b/>
        </w:rPr>
        <w:t>actividades concretas, con responsables, plazos, presupuesto e indicadores</w:t>
      </w:r>
      <w:r>
        <w:t xml:space="preserve">. Es la herramienta que le permite al Directorio y al Comité responder: "¿qué se va a hacer este año por la seguridad y cuánto cuesta?". La ISO/IEC 27001 lo exige en la </w:t>
      </w:r>
      <w:r>
        <w:rPr>
          <w:b/>
        </w:rPr>
        <w:t>cláusula 6.2</w:t>
      </w:r>
      <w:r>
        <w:t>: objetivos medibles, coherentes con la política, con responsables y recursos, y sujetos a seguimiento.</w:t>
      </w:r>
    </w:p>
    <w:p>
      <w:r>
        <w:t xml:space="preserve">Se elabora al </w:t>
      </w:r>
      <w:r>
        <w:rPr>
          <w:b/>
        </w:rPr>
        <w:t>cierre de cada año (para el siguiente)</w:t>
      </w:r>
      <w:r>
        <w:t xml:space="preserve"> con base en los resultados del análisis de riesgos (ID-02/03), el plan de tratamiento (ID-04), los hallazgos de auditoría, los incidentes del período y las brechas detectadas frente al MCU 5.0. Se </w:t>
      </w:r>
      <w:r>
        <w:rPr>
          <w:b/>
        </w:rPr>
        <w:t>revisa semestralmente</w:t>
      </w:r>
      <w:r>
        <w:t xml:space="preserve"> para ajustar prioridades y medir avance con KPIs.</w:t>
      </w:r>
    </w:p>
    <w:p>
      <w:r>
        <w:t xml:space="preserve">El plan se estructura por </w:t>
      </w:r>
      <w:r>
        <w:rPr>
          <w:b/>
        </w:rPr>
        <w:t>funciones del MCU 5.0</w:t>
      </w:r>
      <w:r>
        <w:t xml:space="preserve"> (GV, ID, PR, DE, RS, RC) para demostrar cobertura normativa en las auditorías de Agesic, BCU y URCDP. Cada iniciativa debe ser </w:t>
      </w:r>
      <w:r>
        <w:rPr>
          <w:b/>
        </w:rPr>
        <w:t>específica del Banco</w:t>
      </w:r>
      <w:r>
        <w:t>: no sirve una lista genérica de controles, sino acciones sobre el crédito hipotecario, el ahorro, Banco En Línea, el sistema de pagos y las sucursales.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Objetivos de seguridad y planificación</w:t>
            </w:r>
          </w:p>
        </w:tc>
        <w:tc>
          <w:tcPr>
            <w:tcW w:type="dxa" w:w="1930"/>
          </w:tcPr>
          <w:p>
            <w:r/>
            <w:r>
              <w:t>GV.OV, GV.RM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Cláusula 6.2</w:t>
            </w:r>
          </w:p>
        </w:tc>
        <w:tc>
          <w:tcPr>
            <w:tcW w:type="dxa" w:w="1930"/>
          </w:tcPr>
          <w:p>
            <w:r/>
            <w:r>
              <w:t>EMG · Gobierno (planificación anual)</w:t>
            </w:r>
          </w:p>
        </w:tc>
        <w:tc>
          <w:tcPr>
            <w:tcW w:type="dxa" w:w="1930"/>
          </w:tcPr>
          <w:p>
            <w:r/>
            <w:r>
              <w:t>Decreto 64/020 (programas de seguridad)</w:t>
            </w:r>
          </w:p>
        </w:tc>
      </w:tr>
      <w:tr>
        <w:tc>
          <w:tcPr>
            <w:tcW w:type="dxa" w:w="1930"/>
          </w:tcPr>
          <w:p>
            <w:r/>
            <w:r>
              <w:t>Acciones frente a riesgos</w:t>
            </w:r>
          </w:p>
        </w:tc>
        <w:tc>
          <w:tcPr>
            <w:tcW w:type="dxa" w:w="1930"/>
          </w:tcPr>
          <w:p>
            <w:r/>
            <w:r>
              <w:t>GV.RM</w:t>
            </w:r>
          </w:p>
        </w:tc>
        <w:tc>
          <w:tcPr>
            <w:tcW w:type="dxa" w:w="1930"/>
          </w:tcPr>
          <w:p>
            <w:r/>
            <w:r>
              <w:t>Cláusula 6.1.3 (plan de tratamiento)</w:t>
            </w:r>
          </w:p>
        </w:tc>
        <w:tc>
          <w:tcPr>
            <w:tcW w:type="dxa" w:w="1930"/>
          </w:tcPr>
          <w:p>
            <w:r/>
            <w:r>
              <w:t>EMG · Marco de Riesgos</w:t>
            </w:r>
          </w:p>
        </w:tc>
        <w:tc>
          <w:tcPr>
            <w:tcW w:type="dxa" w:w="1930"/>
          </w:tcPr>
          <w:p>
            <w:r/>
            <w:r>
              <w:t>EIPD (D.64/020 art. 6.f)</w:t>
            </w:r>
          </w:p>
        </w:tc>
      </w:tr>
      <w:tr>
        <w:tc>
          <w:tcPr>
            <w:tcW w:type="dxa" w:w="1930"/>
          </w:tcPr>
          <w:p>
            <w:r/>
            <w:r>
              <w:t>Recursos y presupuesto</w:t>
            </w:r>
          </w:p>
        </w:tc>
        <w:tc>
          <w:tcPr>
            <w:tcW w:type="dxa" w:w="1930"/>
          </w:tcPr>
          <w:p>
            <w:r/>
            <w:r>
              <w:t>GV.OV</w:t>
            </w:r>
          </w:p>
        </w:tc>
        <w:tc>
          <w:tcPr>
            <w:tcW w:type="dxa" w:w="1930"/>
          </w:tcPr>
          <w:p>
            <w:r/>
            <w:r>
              <w:t>Cláusula 5.3 (autoridades y recursos)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Indicadores y seguimiento</w:t>
            </w:r>
          </w:p>
        </w:tc>
        <w:tc>
          <w:tcPr>
            <w:tcW w:type="dxa" w:w="1930"/>
          </w:tcPr>
          <w:p>
            <w:r/>
            <w:r>
              <w:t>GV.OV</w:t>
            </w:r>
          </w:p>
        </w:tc>
        <w:tc>
          <w:tcPr>
            <w:tcW w:type="dxa" w:w="1930"/>
          </w:tcPr>
          <w:p>
            <w:r/>
            <w:r>
              <w:t>Cláusula 9.1 (seguimiento y medición)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Art. 10 (medidas verificables)</w:t>
            </w:r>
          </w:p>
        </w:tc>
      </w:tr>
      <w:tr>
        <w:tc>
          <w:tcPr>
            <w:tcW w:type="dxa" w:w="1930"/>
          </w:tcPr>
          <w:p>
            <w:r/>
            <w:r>
              <w:t>Mejora continua</w:t>
            </w:r>
          </w:p>
        </w:tc>
        <w:tc>
          <w:tcPr>
            <w:tcW w:type="dxa" w:w="1930"/>
          </w:tcPr>
          <w:p>
            <w:r/>
            <w:r>
              <w:t>ID.IM</w:t>
            </w:r>
          </w:p>
        </w:tc>
        <w:tc>
          <w:tcPr>
            <w:tcW w:type="dxa" w:w="1930"/>
          </w:tcPr>
          <w:p>
            <w:r/>
            <w:r>
              <w:t>Cláusula 10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D.64/020 (revisión de medidas)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los objetivos anuales</w:t>
      </w:r>
      <w:r>
        <w:t xml:space="preserve"> en formato SMART (específicos, medibles, alcanzables, relevantes y con plazo) derivados de la política y del apetito de riesgo aprobado por la dirección.</w:t>
      </w:r>
    </w:p>
    <w:p>
      <w:pPr>
        <w:pStyle w:val="ListNumber"/>
      </w:pPr>
      <w:r>
        <w:rPr>
          <w:b/>
        </w:rPr>
        <w:t>Relevá las brechas</w:t>
      </w:r>
      <w:r>
        <w:t xml:space="preserve"> contra el MCU 5.0 (usá la matriz de correspondencia MATRIZ-001) y contra los hallazgos de las auditorías (internas y externas).</w:t>
      </w:r>
    </w:p>
    <w:p>
      <w:pPr>
        <w:pStyle w:val="ListNumber"/>
      </w:pPr>
      <w:r>
        <w:rPr>
          <w:b/>
        </w:rPr>
        <w:t>Priorizá las iniciativas</w:t>
      </w:r>
      <w:r>
        <w:t xml:space="preserve"> con el Comité de Seguridad por impacto y urgencia: primero lo que reduce riesgo alto y lo que exige la normativa (art. 492 RNRCSF, Circulares BCU, URCDP).</w:t>
      </w:r>
    </w:p>
    <w:p>
      <w:pPr>
        <w:pStyle w:val="ListNumber"/>
      </w:pPr>
      <w:r>
        <w:rPr>
          <w:b/>
        </w:rPr>
        <w:t>Asigná responsable y plazo</w:t>
      </w:r>
      <w:r>
        <w:t xml:space="preserve"> a cada iniciativa, con el jefe de área correspondiente: División TI (Lic. Bernardo Ureta) para iniciativas técnicas; Capital Humano (Sr. Pablo Castro) para concientización; Compras y Contrataciones para terceros; Riesgos No Financieros (Cra. Melissa Moraes) para riesgos.</w:t>
      </w:r>
    </w:p>
    <w:p>
      <w:pPr>
        <w:pStyle w:val="ListNumber"/>
      </w:pPr>
      <w:r>
        <w:rPr>
          <w:b/>
        </w:rPr>
        <w:t>Estimá el presupuesto</w:t>
      </w:r>
      <w:r>
        <w:t xml:space="preserve"> con la División Planificación Estratégica (Cr. Pablo Vargha) y la Gerencia de Área Administración Financiera (Cra. Soledad Carreres).</w:t>
      </w:r>
    </w:p>
    <w:p>
      <w:pPr>
        <w:pStyle w:val="ListNumber"/>
      </w:pPr>
      <w:r>
        <w:rPr>
          <w:b/>
        </w:rPr>
        <w:t>Definí los KPIs</w:t>
      </w:r>
      <w:r>
        <w:t xml:space="preserve"> de avance y resultado por iniciativa, con meta y umbral de alerta.</w:t>
      </w:r>
    </w:p>
    <w:p>
      <w:pPr>
        <w:pStyle w:val="ListNumber"/>
      </w:pPr>
      <w:r>
        <w:rPr>
          <w:b/>
        </w:rPr>
        <w:t>Revisá semestralmente</w:t>
      </w:r>
      <w:r>
        <w:t xml:space="preserve"> en el Comité: actualizá estados, ajustá prioridades y registrá los cambios en el control de versiones.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GV-04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Anual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Período cubierto</w:t>
            </w:r>
          </w:p>
        </w:tc>
        <w:tc>
          <w:tcPr>
            <w:tcW w:type="dxa" w:w="4824"/>
          </w:tcPr>
          <w:p>
            <w:r/>
            <w:r>
              <w:t>[Año]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[Semestre 2 del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Definir los objetivos anuales de seguridad de la información del Banco y las iniciativas, recursos, responsables, plazos e indicadores para alcanzarlos, en el marco del SGSI y de la normativa vigente.</w:t>
      </w:r>
    </w:p>
    <w:p>
      <w:pPr>
        <w:pStyle w:val="Heading3"/>
      </w:pPr>
      <w:r>
        <w:rPr>
          <w:color w:val="1F3B63"/>
        </w:rPr>
        <w:t>2. Objetivos anuales (SMART)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Meta medible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2412"/>
          </w:tcPr>
          <w:p>
            <w:r/>
            <w:r>
              <w:t>OBJ-01</w:t>
            </w:r>
          </w:p>
        </w:tc>
        <w:tc>
          <w:tcPr>
            <w:tcW w:type="dxa" w:w="2412"/>
          </w:tcPr>
          <w:p>
            <w:r/>
            <w:r>
              <w:t>Reducir los riesgos de criticidad alta</w:t>
            </w:r>
          </w:p>
        </w:tc>
        <w:tc>
          <w:tcPr>
            <w:tcW w:type="dxa" w:w="2412"/>
          </w:tcPr>
          <w:p>
            <w:r/>
            <w:r>
              <w:t>[COMPLETAR: % de riesgos altos con plan de tratamiento]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OBJ-02</w:t>
            </w:r>
          </w:p>
        </w:tc>
        <w:tc>
          <w:tcPr>
            <w:tcW w:type="dxa" w:w="2412"/>
          </w:tcPr>
          <w:p>
            <w:r/>
            <w:r>
              <w:t>Cumplir los controles prioritarios del MCU 5.0</w:t>
            </w:r>
          </w:p>
        </w:tc>
        <w:tc>
          <w:tcPr>
            <w:tcW w:type="dxa" w:w="2412"/>
          </w:tcPr>
          <w:p>
            <w:r/>
            <w:r>
              <w:t>[COMPLETAR: % de categorías en nivel definido]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OBJ-03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3. Iniciativas por función del MCU 5.0</w:t>
      </w:r>
    </w:p>
    <w:p>
      <w:r>
        <w:rPr>
          <w:b/>
        </w:rPr>
        <w:t>Gobernar (GV):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Actualizar política y normas derivadas</w:t>
            </w:r>
          </w:p>
        </w:tc>
        <w:tc>
          <w:tcPr>
            <w:tcW w:type="dxa" w:w="1608"/>
          </w:tcPr>
          <w:p>
            <w:r/>
            <w:r>
              <w:t>RSI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Documentos vigentes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  <w:tr>
        <w:tc>
          <w:tcPr>
            <w:tcW w:type="dxa" w:w="1608"/>
          </w:tcPr>
          <w:p>
            <w:r/>
            <w:r>
              <w:t>Ejecutar el programa de auditoría interna de seguridad</w:t>
            </w:r>
          </w:p>
        </w:tc>
        <w:tc>
          <w:tcPr>
            <w:tcW w:type="dxa" w:w="1608"/>
          </w:tcPr>
          <w:p>
            <w:r/>
            <w:r>
              <w:t>Auditoría Interna / RSI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Hallazgos cerrados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rPr>
          <w:b/>
        </w:rPr>
        <w:t>Identificar (ID):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Actualizar inventario de activos (ID-01)</w:t>
            </w:r>
          </w:p>
        </w:tc>
        <w:tc>
          <w:tcPr>
            <w:tcW w:type="dxa" w:w="1608"/>
          </w:tcPr>
          <w:p>
            <w:r/>
            <w:r>
              <w:t>RSI / Div. TI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Activos relevados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  <w:tr>
        <w:tc>
          <w:tcPr>
            <w:tcW w:type="dxa" w:w="1608"/>
          </w:tcPr>
          <w:p>
            <w:r/>
            <w:r>
              <w:t>Actualizar análisis de riesgos (ID-02/03)</w:t>
            </w:r>
          </w:p>
        </w:tc>
        <w:tc>
          <w:tcPr>
            <w:tcW w:type="dxa" w:w="1608"/>
          </w:tcPr>
          <w:p>
            <w:r/>
            <w:r>
              <w:t>Riesgos No Financieros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Riesgos evaluados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rPr>
          <w:b/>
        </w:rPr>
        <w:t>Proteger (PR):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[COMPLETAR: ej. implementar MFA en accesos remotos]</w:t>
            </w:r>
          </w:p>
        </w:tc>
        <w:tc>
          <w:tcPr>
            <w:tcW w:type="dxa" w:w="1608"/>
          </w:tcPr>
          <w:p>
            <w:r/>
            <w:r>
              <w:t>Div. TI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  <w:tr>
        <w:tc>
          <w:tcPr>
            <w:tcW w:type="dxa" w:w="1608"/>
          </w:tcPr>
          <w:p>
            <w:r/>
            <w:r>
              <w:t>Programa de concientización en ciberseguridad</w:t>
            </w:r>
          </w:p>
        </w:tc>
        <w:tc>
          <w:tcPr>
            <w:tcW w:type="dxa" w:w="1608"/>
          </w:tcPr>
          <w:p>
            <w:r/>
            <w:r>
              <w:t>Capital Humano / RSI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Funcionarios capacitados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  <w:tr>
        <w:tc>
          <w:tcPr>
            <w:tcW w:type="dxa" w:w="1608"/>
          </w:tcPr>
          <w:p>
            <w:r/>
            <w:r>
              <w:t>Verificar respaldos y resguardo de datos (art. 492)</w:t>
            </w:r>
          </w:p>
        </w:tc>
        <w:tc>
          <w:tcPr>
            <w:tcW w:type="dxa" w:w="1608"/>
          </w:tcPr>
          <w:p>
            <w:r/>
            <w:r>
              <w:t>Div. TI / Operaciones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Pruebas de restauración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rPr>
          <w:b/>
        </w:rPr>
        <w:t>Detectar (DE):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[COMPLETAR: ej. ampliar monitoreo de Banco En Línea]</w:t>
            </w:r>
          </w:p>
        </w:tc>
        <w:tc>
          <w:tcPr>
            <w:tcW w:type="dxa" w:w="1608"/>
          </w:tcPr>
          <w:p>
            <w:r/>
            <w:r>
              <w:t>Div. TI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  <w:tr>
        <w:tc>
          <w:tcPr>
            <w:tcW w:type="dxa" w:w="1608"/>
          </w:tcPr>
          <w:p>
            <w:r/>
            <w:r>
              <w:t>Pruebas de penetración y evaluación de vulnerabilidades</w:t>
            </w:r>
          </w:p>
        </w:tc>
        <w:tc>
          <w:tcPr>
            <w:tcW w:type="dxa" w:w="1608"/>
          </w:tcPr>
          <w:p>
            <w:r/>
            <w:r>
              <w:t>Div. TI / tercero autorizado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Vulnerabilidades críticas abiertas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rPr>
          <w:b/>
        </w:rPr>
        <w:t>Responder (RS):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Simulacro de respuesta a incidentes</w:t>
            </w:r>
          </w:p>
        </w:tc>
        <w:tc>
          <w:tcPr>
            <w:tcW w:type="dxa" w:w="1608"/>
          </w:tcPr>
          <w:p>
            <w:r/>
            <w:r>
              <w:t>RSI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Ejercicios realizados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rPr>
          <w:b/>
        </w:rPr>
        <w:t>Recuperar (RC):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Iniciativa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Presupuesto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1608"/>
          </w:tcPr>
          <w:p>
            <w:r/>
            <w:r>
              <w:t>Prueba del plan de continuidad (RC-01/02)</w:t>
            </w:r>
          </w:p>
        </w:tc>
        <w:tc>
          <w:tcPr>
            <w:tcW w:type="dxa" w:w="1608"/>
          </w:tcPr>
          <w:p>
            <w:r/>
            <w:r>
              <w:t>Riesgos No Financieros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Pruebas ejecutadas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4. Presupuesto y recursos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Monto estimado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3216"/>
          </w:tcPr>
          <w:p>
            <w:r/>
            <w:r>
              <w:t>[COMPLETAR: herramientas de seguridad]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Presupuesto Div. TI</w:t>
            </w:r>
          </w:p>
        </w:tc>
      </w:tr>
      <w:tr>
        <w:tc>
          <w:tcPr>
            <w:tcW w:type="dxa" w:w="3216"/>
          </w:tcPr>
          <w:p>
            <w:r/>
            <w:r>
              <w:t>[COMPLETAR: servicios externos y consultorías]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Presupuesto Compras</w:t>
            </w:r>
          </w:p>
        </w:tc>
      </w:tr>
      <w:tr>
        <w:tc>
          <w:tcPr>
            <w:tcW w:type="dxa" w:w="3216"/>
          </w:tcPr>
          <w:p>
            <w:r/>
            <w:r>
              <w:t>[COMPLETAR: capacitación]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Presupuesto Capital Humano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5. Responsables y rendición</w:t>
      </w:r>
    </w:p>
    <w:p>
      <w:r>
        <w:t xml:space="preserve">Cada iniciativa tiene un </w:t>
      </w:r>
      <w:r>
        <w:rPr>
          <w:b/>
        </w:rPr>
        <w:t>responsable de ejecución</w:t>
      </w:r>
      <w:r>
        <w:t xml:space="preserve"> y un </w:t>
      </w:r>
      <w:r>
        <w:rPr>
          <w:b/>
        </w:rPr>
        <w:t>responsable de resultado</w:t>
      </w:r>
      <w:r>
        <w:t>. El RSI consolida el avance y lo presenta al Comité. Los desvíos superiores a [COMPLETAR] se escalan a la Gerencia General.</w:t>
      </w:r>
    </w:p>
    <w:p>
      <w:pPr>
        <w:pStyle w:val="Heading3"/>
      </w:pPr>
      <w:r>
        <w:rPr>
          <w:color w:val="1F3B63"/>
        </w:rPr>
        <w:t>6. Indicadores de avance (KPIs) y revisión semestral</w:t>
      </w:r>
    </w:p>
    <w:p>
      <w:pPr>
        <w:ind w:left="432"/>
      </w:pPr>
      <w:r>
        <w:rPr>
          <w:i/>
          <w:color w:val="606060"/>
        </w:rPr>
        <w:t>**Ver EV-05** (indicadores y métricas del SGSI) para definir con método cada KPI: fórmula, fuente, frecuencia, meta y responsable.</w:t>
      </w:r>
    </w:p>
    <w:p>
      <w:pPr>
        <w:pStyle w:val="ListBullet"/>
      </w:pPr>
      <w:r>
        <w:rPr>
          <w:b/>
        </w:rPr>
        <w:t>Avance:</w:t>
      </w:r>
      <w:r>
        <w:t xml:space="preserve"> % de iniciativas en plazo · % de presupuesto ejecutado.</w:t>
      </w:r>
    </w:p>
    <w:p>
      <w:pPr>
        <w:pStyle w:val="ListBullet"/>
      </w:pPr>
      <w:r>
        <w:rPr>
          <w:b/>
        </w:rPr>
        <w:t>Resultado:</w:t>
      </w:r>
      <w:r>
        <w:t xml:space="preserve"> % de riesgos altos tratados · % de controles MCU 5.0 cumplidos · MTTR de incidentes.</w:t>
      </w:r>
    </w:p>
    <w:p>
      <w:pPr>
        <w:pStyle w:val="ListBullet"/>
      </w:pPr>
      <w:r>
        <w:rPr>
          <w:b/>
        </w:rPr>
        <w:t>Revisión:</w:t>
      </w:r>
      <w:r>
        <w:t xml:space="preserve"> el Comité revisa el plan en [COMPLETAR: mes del primer semestre y mes del segundo semestre]. Los cambios se registran en el control de cambios.</w:t>
      </w:r>
    </w:p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 del plan anual)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0.2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Ajustes de la revisión semestral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Adaptalo a los recursos reales del banco.</w:t>
      </w:r>
    </w:p>
    <w:p>
      <w:r>
        <w:rPr>
          <w:b/>
        </w:rPr>
        <w:t>Objetivos anuales (ejemplo):</w:t>
      </w:r>
    </w:p>
    <w:p>
      <w:pPr>
        <w:pStyle w:val="ListBullet"/>
      </w:pPr>
      <w:r>
        <w:t>Reducir a cero los riesgos de criticidad alta identificados en el análisis de riesgos del primer trimestre.</w:t>
      </w:r>
    </w:p>
    <w:p>
      <w:pPr>
        <w:pStyle w:val="ListBullet"/>
      </w:pPr>
      <w:r>
        <w:t>Llevar el nivel de madurez del MCU 5.0 en las funciones GV, ID y PR al nivel "Definido" (más alto) al cierre del año.</w:t>
      </w:r>
    </w:p>
    <w:p>
      <w:pPr>
        <w:pStyle w:val="ListBullet"/>
      </w:pPr>
      <w:r>
        <w:t>Asegurar que el 100% de los accesos administrativos y remotos al core bancario y a Banco En Línea usen autenticación multifactor (MFA).</w:t>
      </w:r>
    </w:p>
    <w:p>
      <w:r>
        <w:rPr>
          <w:b/>
        </w:rPr>
        <w:t>Iniciativas (ejemplo):</w:t>
      </w:r>
    </w:p>
    <w:p>
      <w:pPr>
        <w:pStyle w:val="ListBullet"/>
      </w:pPr>
      <w:r>
        <w:rPr>
          <w:b/>
        </w:rPr>
        <w:t>PR:</w:t>
      </w:r>
      <w:r>
        <w:t xml:space="preserve"> implementar MFA en el acceso remoto de funcionarios y en las consolas de administración de la División TI (Lic. Bernardo Ureta), con foco en los equipos que operan el sistema de pagos (Cr. Guillermo Correa).</w:t>
      </w:r>
    </w:p>
    <w:p>
      <w:pPr>
        <w:pStyle w:val="ListBullet"/>
      </w:pPr>
      <w:r>
        <w:rPr>
          <w:b/>
        </w:rPr>
        <w:t>PR:</w:t>
      </w:r>
      <w:r>
        <w:t xml:space="preserve"> programa de concientización trimestral para los funcionarios de sucursales y de atención al cliente, incluyendo campañas de simulación de phishing dirigidas a los canales Banco En Línea.</w:t>
      </w:r>
    </w:p>
    <w:p>
      <w:pPr>
        <w:pStyle w:val="ListBullet"/>
      </w:pPr>
      <w:r>
        <w:rPr>
          <w:b/>
        </w:rPr>
        <w:t>PR/RC:</w:t>
      </w:r>
      <w:r>
        <w:t xml:space="preserve"> prueba semestral de restauración de respaldos del core hipotecario y del sistema de pagos, cumpliendo el art. 492 de la RNRCSF, con informe a Riesgos No Financieros.</w:t>
      </w:r>
    </w:p>
    <w:p>
      <w:pPr>
        <w:pStyle w:val="ListBullet"/>
      </w:pPr>
      <w:r>
        <w:rPr>
          <w:b/>
        </w:rPr>
        <w:t>ID:</w:t>
      </w:r>
      <w:r>
        <w:t xml:space="preserve"> actualización del análisis de riesgos enfocado en la nube y en las tercerizaciones (GV-05), coordinado con Compras y Contrataciones.</w:t>
      </w:r>
    </w:p>
    <w:p>
      <w:pPr>
        <w:pStyle w:val="ListBullet"/>
      </w:pPr>
      <w:r>
        <w:rPr>
          <w:b/>
        </w:rPr>
        <w:t>DE:</w:t>
      </w:r>
      <w:r>
        <w:t xml:space="preserve"> ampliación del monitoreo y detección de anomalías sobre Banco En Línea y los canales de pago, con alertas al SOC.</w:t>
      </w:r>
    </w:p>
    <w:p>
      <w:r>
        <w:rPr>
          <w:b/>
        </w:rPr>
        <w:t>KPIs (ejemplo):</w:t>
      </w:r>
      <w:r>
        <w:t xml:space="preserve"> 90% de las iniciativas en plazo al primer semestre; 100% de los riesgos altos con plan de tratamiento al cierre; MTTR de incidentes de prioridad alta menor a [COMPLETAR] horas; cero hallazgos críticos abiertos de las auditorías del año anterior.</w:t>
      </w:r>
    </w:p>
    <w:p>
      <w:r>
        <w:rPr>
          <w:b/>
        </w:rPr>
        <w:t>Presupuesto (ejemplo):</w:t>
      </w:r>
      <w:r>
        <w:t xml:space="preserve"> las iniciativas del año se financian con el presupuesto de la División TI (herramientas y licenciamiento), el de Compras y Contrataciones (servicios externos y pruebas de seguridad) y el de Capital Humano (capacitación), por un total estimado de [COMPLETAR] pesos uruguayos.</w:t>
      </w:r>
    </w:p>
    <w:p>
      <w:r>
        <w:rPr>
          <w:b/>
        </w:rPr>
        <w:t>Documentos relacionados:</w:t>
      </w:r>
      <w:r>
        <w:t xml:space="preserve"> GV-01 (Política), GV-02 (Alcance), GV-03 (Roles y Comité), ID-02/03 (Riesgos), ID-04 (Plan de Tratamiento), GV-06 (Informe del RSI), EV-05 (Indicadores y Métricas),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